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18"/>
        </w:rPr>
      </w:pPr>
      <w:r>
        <w:rPr>
          <w:sz w:val="18"/>
        </w:rPr>
        <w:t xml:space="preserve"> </w:t>
      </w:r>
      <w:bookmarkStart w:id="0" w:name="FCS"/>
      <w:bookmarkEnd w:id="0"/>
    </w:p>
    <w:p>
      <w:pPr>
        <w:pStyle w:val="Trame"/>
        <w:spacing w:before="0" w:after="360"/>
        <w:ind w:right="6" w:hanging="0"/>
        <w:rPr>
          <w:rFonts w:cs="Times New Roman"/>
          <w:sz w:val="28"/>
          <w:szCs w:val="28"/>
          <w:shd w:fill="FFFF00" w:val="clear"/>
        </w:rPr>
      </w:pPr>
      <w:r>
        <w:rPr>
          <w:rFonts w:cs="Times New Roman"/>
          <w:sz w:val="28"/>
          <w:szCs w:val="28"/>
        </w:rPr>
        <w:t>ACCORD-CADRE DE SERVICES</w:t>
      </w:r>
    </w:p>
    <w:p>
      <w:pPr>
        <w:pStyle w:val="Trame"/>
        <w:spacing w:before="0" w:after="360"/>
        <w:ind w:right="6" w:hanging="0"/>
        <w:rPr>
          <w:rFonts w:cs="Times New Roman"/>
          <w:b w:val="false"/>
          <w:b w:val="false"/>
          <w:sz w:val="28"/>
          <w:szCs w:val="28"/>
        </w:rPr>
      </w:pPr>
      <w:r>
        <w:rPr>
          <w:rFonts w:cs="Times New Roman"/>
          <w:sz w:val="28"/>
          <w:szCs w:val="28"/>
        </w:rPr>
        <w:t>ACTE D'ENGAGEMENT</w:t>
        <w:br/>
        <w:t>(AE)</w:t>
      </w:r>
    </w:p>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sz w:val="28"/>
              </w:rPr>
              <w:t>Acheteur</w:t>
            </w:r>
          </w:p>
        </w:tc>
      </w:tr>
      <w:tr>
        <w:trPr/>
        <w:tc>
          <w:tcPr>
            <w:tcW w:w="9355" w:type="dxa"/>
            <w:tcBorders>
              <w:top w:val="single" w:sz="4" w:space="0" w:color="000000"/>
              <w:left w:val="double" w:sz="2" w:space="0" w:color="000000"/>
              <w:right w:val="double" w:sz="2" w:space="0" w:color="000000"/>
            </w:tcBorders>
          </w:tcPr>
          <w:p>
            <w:pPr>
              <w:pStyle w:val="Reponse"/>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cs="Times New Roman"/>
                <w:b/>
                <w:b/>
                <w:bCs/>
                <w:sz w:val="28"/>
                <w:szCs w:val="28"/>
              </w:rPr>
            </w:pPr>
            <w:bookmarkStart w:id="1" w:name="A0_p9_a"/>
            <w:r>
              <w:rPr>
                <w:rFonts w:cs="Times New Roman"/>
                <w:b/>
                <w:bCs/>
                <w:sz w:val="28"/>
                <w:szCs w:val="28"/>
              </w:rPr>
              <w:t>Direction régionale et interdépartementale de l’Environnement, de l’Aménagement et des Transports d’Île-de-France (DRIEAT-IF)</w:t>
            </w:r>
            <w:bookmarkEnd w:id="1"/>
          </w:p>
          <w:p>
            <w:pPr>
              <w:pStyle w:val="Normal"/>
              <w:widowControl w:val="false"/>
              <w:ind w:left="567" w:right="497" w:hanging="0"/>
              <w:jc w:val="center"/>
              <w:rPr>
                <w:rFonts w:cs="Times New Roman"/>
                <w:sz w:val="28"/>
                <w:szCs w:val="28"/>
              </w:rPr>
            </w:pPr>
            <w:r>
              <w:rPr>
                <w:rFonts w:cs="Times New Roman"/>
                <w:sz w:val="28"/>
                <w:szCs w:val="28"/>
              </w:rPr>
            </w:r>
          </w:p>
          <w:p>
            <w:pPr>
              <w:pStyle w:val="Normal"/>
              <w:widowControl w:val="false"/>
              <w:ind w:left="567" w:right="497" w:hanging="0"/>
              <w:jc w:val="center"/>
              <w:rPr>
                <w:rFonts w:cs="Times New Roman"/>
                <w:sz w:val="28"/>
                <w:szCs w:val="28"/>
              </w:rPr>
            </w:pPr>
            <w:r>
              <w:rPr>
                <w:rFonts w:cs="Times New Roman"/>
                <w:sz w:val="28"/>
                <w:szCs w:val="28"/>
              </w:rPr>
              <w:t>21-23 Rue Miollis – 75 015 PARIS</w:t>
            </w:r>
          </w:p>
        </w:tc>
      </w:tr>
      <w:tr>
        <w:trPr/>
        <w:tc>
          <w:tcPr>
            <w:tcW w:w="9355" w:type="dxa"/>
            <w:tcBorders>
              <w:left w:val="double" w:sz="2" w:space="0" w:color="000000"/>
              <w:bottom w:val="double" w:sz="2" w:space="0" w:color="000000"/>
              <w:right w:val="double" w:sz="2" w:space="0" w:color="000000"/>
            </w:tcBorders>
          </w:tcPr>
          <w:p>
            <w:pPr>
              <w:pStyle w:val="Reponse"/>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color w:val="000000"/>
                <w:sz w:val="28"/>
              </w:rPr>
            </w:pPr>
            <w:r>
              <w:rPr>
                <w:rFonts w:cs="Times New Roman"/>
                <w:b/>
                <w:i/>
                <w:color w:val="000000"/>
                <w:sz w:val="28"/>
              </w:rPr>
              <w:t>Représentant de l’Acheteur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eastAsia="ArialMT" w:cs="Times New Roman"/>
                <w:sz w:val="26"/>
                <w:szCs w:val="26"/>
                <w:shd w:fill="FFFFFF" w:val="clear"/>
              </w:rPr>
            </w:pPr>
            <w:r>
              <w:rPr>
                <w:rFonts w:cs="Times New Roman"/>
                <w:sz w:val="26"/>
                <w:szCs w:val="26"/>
              </w:rPr>
              <w:t>Madame la directrice régionale et interdépartementale de l’Environnement, de l’Aménagement et des Transports,</w:t>
            </w:r>
          </w:p>
          <w:p>
            <w:pPr>
              <w:pStyle w:val="Normal"/>
              <w:widowControl w:val="false"/>
              <w:ind w:left="567" w:right="497" w:hanging="0"/>
              <w:jc w:val="center"/>
              <w:rPr>
                <w:rFonts w:eastAsia="ArialMT" w:cs="Times New Roman"/>
                <w:sz w:val="26"/>
                <w:szCs w:val="26"/>
                <w:shd w:fill="FFFFFF" w:val="clear"/>
              </w:rPr>
            </w:pPr>
            <w:bookmarkStart w:id="2" w:name="A0_p7_a"/>
            <w:r>
              <w:rPr>
                <w:rFonts w:cs="Times New Roman"/>
                <w:sz w:val="26"/>
                <w:szCs w:val="26"/>
              </w:rPr>
              <w:t>en vertu</w:t>
            </w:r>
            <w:bookmarkEnd w:id="2"/>
            <w:r>
              <w:rPr>
                <w:rFonts w:cs="Times New Roman"/>
                <w:sz w:val="26"/>
                <w:szCs w:val="26"/>
              </w:rPr>
              <w:t xml:space="preserve"> de </w:t>
            </w:r>
            <w:hyperlink r:id="rId2" w:tgtFrame="Arrêté n° IDF-2023-04-19-00003 du 19 avril 2023 portant délégation de signature à Mme Emmanuelle GAY, directrice régionale et interdépartementale de l'environnement, de l'aménagement et des transports d'Île-de-France en matière d'ordonnancement secondaire">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Ordonnateur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hanging="0"/>
              <w:jc w:val="center"/>
              <w:rPr>
                <w:rFonts w:eastAsia="ArialMT" w:cs="Times New Roman"/>
                <w:sz w:val="26"/>
                <w:szCs w:val="26"/>
                <w:shd w:fill="FFFFFF" w:val="clear"/>
              </w:rPr>
            </w:pPr>
            <w:r>
              <w:rPr>
                <w:rFonts w:cs="Times New Roman"/>
                <w:sz w:val="26"/>
                <w:szCs w:val="26"/>
              </w:rPr>
              <w:t>Direction régionale et interdépartementale de l’environnement, l’aménagement et des transports d’Île-de-France, r</w:t>
            </w:r>
            <w:bookmarkStart w:id="3" w:name="A0_p7_c"/>
            <w:r>
              <w:rPr>
                <w:rFonts w:cs="Times New Roman"/>
                <w:sz w:val="26"/>
                <w:szCs w:val="26"/>
              </w:rPr>
              <w:t>eprésentée par Madame la directrice régionale et interdépartementale de l’Environnement, de l’Aménagement et des Transports,</w:t>
            </w:r>
          </w:p>
          <w:p>
            <w:pPr>
              <w:pStyle w:val="Normal"/>
              <w:widowControl w:val="false"/>
              <w:ind w:left="567" w:hanging="0"/>
              <w:jc w:val="center"/>
              <w:rPr>
                <w:rFonts w:eastAsia="ArialMT" w:cs="Times New Roman"/>
                <w:sz w:val="26"/>
                <w:szCs w:val="26"/>
                <w:shd w:fill="FFFFFF" w:val="clear"/>
              </w:rPr>
            </w:pPr>
            <w:r>
              <w:rPr>
                <w:rFonts w:cs="Times New Roman"/>
                <w:sz w:val="26"/>
                <w:szCs w:val="26"/>
              </w:rPr>
              <w:t xml:space="preserve">en vertu de </w:t>
            </w:r>
            <w:hyperlink r:id="rId3" w:tgtFrame="Arrêté n° IDF-2023-04-19-00003 du 19 avril 2023 portant délégation de signature à Mme Emmanuelle GAY, directrice régionale et interdépartementale de l'environnement, de l'aménagement et des transports d'Île-de-France en matière d'ordonnancement secondaire">
              <w:bookmarkEnd w:id="3"/>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48"/>
        </w:rPr>
      </w:pPr>
      <w:r>
        <w:rPr>
          <w:sz w:val="48"/>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Comptable public assignataire</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vAlign w:val="center"/>
          </w:tcPr>
          <w:p>
            <w:pPr>
              <w:pStyle w:val="Normal"/>
              <w:widowControl w:val="false"/>
              <w:ind w:left="567" w:hanging="0"/>
              <w:jc w:val="center"/>
              <w:rPr>
                <w:rFonts w:cs="Times New Roman"/>
                <w:sz w:val="26"/>
                <w:szCs w:val="26"/>
              </w:rPr>
            </w:pPr>
            <w:bookmarkStart w:id="4" w:name="R0_p7_a11"/>
            <w:r>
              <w:rPr>
                <w:rFonts w:cs="Times New Roman"/>
                <w:sz w:val="26"/>
                <w:szCs w:val="26"/>
              </w:rPr>
              <w:t>Monsieur le directeur départemental des Finances publiques du Val-de-Marne</w:t>
            </w:r>
            <w:bookmarkEnd w:id="4"/>
          </w:p>
          <w:p>
            <w:pPr>
              <w:pStyle w:val="Normal"/>
              <w:widowControl w:val="false"/>
              <w:ind w:left="567" w:hanging="0"/>
              <w:jc w:val="center"/>
              <w:rPr>
                <w:rFonts w:cs="Times New Roman"/>
                <w:sz w:val="26"/>
                <w:szCs w:val="26"/>
              </w:rPr>
            </w:pPr>
            <w:r>
              <w:rPr>
                <w:rFonts w:cs="Times New Roman"/>
                <w:sz w:val="26"/>
                <w:szCs w:val="26"/>
              </w:rPr>
              <w:t>1 Place du Général Pierre Billotte – 94 000 CRETEIL</w:t>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Objet du marché public</w:t>
            </w:r>
          </w:p>
        </w:tc>
      </w:tr>
      <w:tr>
        <w:trPr/>
        <w:tc>
          <w:tcPr>
            <w:tcW w:w="9355" w:type="dxa"/>
            <w:tcBorders>
              <w:left w:val="double" w:sz="2" w:space="0" w:color="000000"/>
              <w:right w:val="double" w:sz="2" w:space="0" w:color="000000"/>
            </w:tcBorders>
          </w:tcPr>
          <w:p>
            <w:pPr>
              <w:pStyle w:val="Normal"/>
              <w:widowControl w:val="false"/>
              <w:snapToGrid w:val="false"/>
              <w:ind w:left="567" w:right="641" w:hanging="0"/>
              <w:rPr>
                <w:b/>
                <w:b/>
                <w:i/>
                <w:i/>
                <w:sz w:val="6"/>
              </w:rPr>
            </w:pPr>
            <w:r>
              <w:rPr>
                <w:b/>
                <w:i/>
                <w:sz w:val="6"/>
              </w:rPr>
            </w:r>
          </w:p>
        </w:tc>
      </w:tr>
      <w:tr>
        <w:trPr>
          <w:trHeight w:val="1026" w:hRule="atLeast"/>
        </w:trPr>
        <w:tc>
          <w:tcPr>
            <w:tcW w:w="9355" w:type="dxa"/>
            <w:tcBorders>
              <w:left w:val="double" w:sz="2" w:space="0" w:color="000000"/>
              <w:right w:val="double" w:sz="2" w:space="0" w:color="000000"/>
            </w:tcBorders>
            <w:vAlign w:val="center"/>
          </w:tcPr>
          <w:p>
            <w:pPr>
              <w:pStyle w:val="Normal"/>
              <w:widowControl w:val="false"/>
              <w:snapToGrid w:val="false"/>
              <w:ind w:left="567" w:right="497" w:hanging="0"/>
              <w:jc w:val="center"/>
              <w:rPr>
                <w:rFonts w:cs="Times New Roman"/>
                <w:sz w:val="26"/>
                <w:szCs w:val="26"/>
              </w:rPr>
            </w:pPr>
            <w:r>
              <w:rPr>
                <w:rFonts w:cs="Times New Roman"/>
                <w:sz w:val="26"/>
                <w:szCs w:val="26"/>
              </w:rPr>
            </w:r>
          </w:p>
          <w:p>
            <w:pPr>
              <w:pStyle w:val="Normal"/>
              <w:widowControl w:val="false"/>
              <w:snapToGrid w:val="false"/>
              <w:ind w:left="567" w:right="497" w:hanging="0"/>
              <w:jc w:val="center"/>
              <w:rPr>
                <w:rFonts w:cs="Times New Roman"/>
                <w:color w:val="00B050"/>
                <w:sz w:val="26"/>
                <w:szCs w:val="26"/>
              </w:rPr>
            </w:pPr>
            <w:r>
              <w:rPr>
                <w:rFonts w:cs="Times New Roman"/>
                <w:sz w:val="26"/>
                <w:szCs w:val="26"/>
              </w:rPr>
              <w:t xml:space="preserve">Consultation n° </w:t>
            </w:r>
            <w:r>
              <w:rPr>
                <w:b/>
                <w:bCs/>
                <w:i w:val="false"/>
                <w:sz w:val="24"/>
              </w:rPr>
              <w:t>DRIEAT-</w:t>
            </w:r>
            <w:r>
              <w:rPr>
                <w:b/>
                <w:bCs/>
              </w:rPr>
              <w:t>DIRIF-AGERO-25-083</w:t>
            </w:r>
          </w:p>
          <w:p>
            <w:pPr>
              <w:pStyle w:val="Normal"/>
              <w:widowControl w:val="false"/>
              <w:snapToGrid w:val="false"/>
              <w:ind w:left="567" w:right="497" w:hanging="0"/>
              <w:jc w:val="center"/>
              <w:rPr>
                <w:rFonts w:cs="Times New Roman"/>
                <w:color w:val="00B050"/>
                <w:sz w:val="26"/>
                <w:szCs w:val="26"/>
              </w:rPr>
            </w:pPr>
            <w:r>
              <w:rPr>
                <w:rFonts w:cs="Times New Roman"/>
                <w:color w:val="00B050"/>
                <w:sz w:val="26"/>
                <w:szCs w:val="26"/>
              </w:rPr>
            </w:r>
          </w:p>
          <w:p>
            <w:pPr>
              <w:pStyle w:val="Normal"/>
              <w:widowControl w:val="false"/>
              <w:tabs>
                <w:tab w:val="clear" w:pos="709"/>
                <w:tab w:val="left" w:pos="9306" w:leader="none"/>
              </w:tabs>
              <w:overflowPunct w:val="true"/>
              <w:snapToGrid w:val="false"/>
              <w:spacing w:before="57" w:after="57"/>
              <w:ind w:left="567" w:right="56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8"/>
                <w:szCs w:val="28"/>
              </w:rPr>
              <w:t>Prestations d'entretien et de réparation des dispositifs de retenue métalliques et béton gérés par les 4 arrondissements de la DiRIF</w:t>
            </w:r>
          </w:p>
          <w:p>
            <w:pPr>
              <w:pStyle w:val="Normal"/>
              <w:widowControl w:val="false"/>
              <w:tabs>
                <w:tab w:val="clear" w:pos="709"/>
                <w:tab w:val="left" w:pos="9306" w:leader="none"/>
              </w:tabs>
              <w:overflowPunct w:val="true"/>
              <w:snapToGrid w:val="false"/>
              <w:spacing w:before="57" w:after="57"/>
              <w:ind w:left="567" w:right="497" w:hanging="0"/>
              <w:jc w:val="center"/>
              <w:textAlignment w:val="baseline"/>
              <w:rPr>
                <w:rStyle w:val="Minfosgras"/>
                <w:rFonts w:eastAsia="Times New Roman"/>
                <w:sz w:val="24"/>
              </w:rPr>
            </w:pPr>
            <w:r>
              <w:rPr>
                <w:rFonts w:eastAsia="Times New Roman"/>
                <w:sz w:val="24"/>
              </w:rPr>
            </w:r>
          </w:p>
          <w:p>
            <w:pPr>
              <w:pStyle w:val="Normal"/>
              <w:widowControl w:val="false"/>
              <w:tabs>
                <w:tab w:val="clear" w:pos="709"/>
                <w:tab w:val="left" w:pos="9306" w:leader="none"/>
              </w:tabs>
              <w:overflowPunct w:val="true"/>
              <w:snapToGrid w:val="false"/>
              <w:spacing w:before="57" w:after="57"/>
              <w:ind w:left="567" w:right="49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4"/>
              </w:rPr>
              <w:t>Lot 2 : Réparations, remplacements et déploiement des glissières métal et béton de l’AGER Sud</w:t>
            </w:r>
          </w:p>
          <w:p>
            <w:pPr>
              <w:pStyle w:val="Normal"/>
              <w:widowControl w:val="false"/>
              <w:snapToGrid w:val="false"/>
              <w:ind w:left="567" w:right="497" w:hanging="0"/>
              <w:jc w:val="center"/>
              <w:rPr>
                <w:rFonts w:cs="Times New Roman"/>
                <w:i/>
                <w:i/>
                <w:iCs/>
                <w:sz w:val="26"/>
                <w:szCs w:val="26"/>
              </w:rPr>
            </w:pPr>
            <w:r>
              <w:rPr>
                <w:rFonts w:cs="Times New Roman"/>
                <w:i/>
                <w:iCs/>
                <w:sz w:val="26"/>
                <w:szCs w:val="26"/>
              </w:rPr>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ind w:left="567" w:right="641" w:hanging="0"/>
              <w:rPr>
                <w:sz w:val="6"/>
              </w:rPr>
            </w:pPr>
            <w:r>
              <w:rPr>
                <w:sz w:val="6"/>
              </w:rPr>
            </w:r>
          </w:p>
        </w:tc>
      </w:tr>
    </w:tbl>
    <w:p>
      <w:pPr>
        <w:pStyle w:val="Normal"/>
        <w:spacing w:before="240" w:after="0"/>
        <w:rPr/>
      </w:pPr>
      <w:r>
        <w:rPr/>
      </w:r>
      <w:r>
        <w:br w:type="page"/>
      </w:r>
    </w:p>
    <w:p>
      <w:pPr>
        <w:pStyle w:val="Normal"/>
        <w:spacing w:before="240" w:after="0"/>
        <w:rPr>
          <w:sz w:val="6"/>
        </w:rPr>
      </w:pPr>
      <w:r>
        <w:rPr>
          <w:sz w:val="6"/>
        </w:rPr>
      </w:r>
    </w:p>
    <w:p>
      <w:pPr>
        <w:pStyle w:val="Titre1"/>
        <w:keepNext w:val="false"/>
        <w:spacing w:before="0" w:after="120"/>
        <w:rPr>
          <w:u w:val="none"/>
        </w:rPr>
      </w:pPr>
      <w:r>
        <w:rPr>
          <w:u w:val="none"/>
        </w:rPr>
        <w:t>ARTICLE PREMIER. CONTRACTANT(S)</w:t>
      </w:r>
    </w:p>
    <w:p>
      <w:pPr>
        <w:pStyle w:val="Normal"/>
        <w:spacing w:before="0" w:after="120"/>
        <w:ind w:left="-284" w:hanging="0"/>
        <w:rPr/>
      </w:pPr>
      <w:sdt>
        <w:sdtPr>
          <w14:checkbox>
            <w14:checked w:val=""/>
            <w14:checkedState w:val=""/>
            <w14:uncheckedState w:val=""/>
          </w14:checkbox>
          <w:id w:val="701384121"/>
        </w:sdtPr>
        <w:sdtContent>
          <w:r>
            <w:rPr>
              <w:rFonts w:eastAsia="MS Gothic" w:ascii="MS Gothic" w:hAnsi="MS Gothic"/>
              <w:sz w:val="36"/>
            </w:rPr>
            <w:t>☐</w:t>
          </w:r>
        </w:sdtContent>
      </w:sdt>
      <w:r>
        <w:rPr>
          <w:sz w:val="36"/>
        </w:rPr>
        <w:t xml:space="preserve">  </w:t>
      </w:r>
      <w:r>
        <w:rPr>
          <w:b/>
        </w:rPr>
        <w:t>Je soussigné,</w:t>
      </w:r>
    </w:p>
    <w:tbl>
      <w:tblPr>
        <w:tblW w:w="5000" w:type="pct"/>
        <w:jc w:val="left"/>
        <w:tblInd w:w="5" w:type="dxa"/>
        <w:tblLayout w:type="fixed"/>
        <w:tblCellMar>
          <w:top w:w="0" w:type="dxa"/>
          <w:left w:w="5" w:type="dxa"/>
          <w:bottom w:w="0" w:type="dxa"/>
          <w:right w:w="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556650979"/>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2092411653"/>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698158942"/>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66166510"/>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sz w:val="36"/>
        </w:rPr>
      </w:pPr>
      <w:r>
        <w:rPr>
          <w:sz w:val="36"/>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4">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5" w:name="__Fieldmark__371_2488369542"/>
      <w:bookmarkStart w:id="6" w:name="__Fieldmark__371_2488369542"/>
      <w:bookmarkEnd w:id="6"/>
      <w:r>
        <w:rPr/>
      </w:r>
      <w:r>
        <w:rPr/>
        <w:fldChar w:fldCharType="end"/>
      </w:r>
      <w:bookmarkStart w:id="7" w:name="__Fieldmark__31688_1452083309"/>
      <w:bookmarkStart w:id="8" w:name="__Fieldmark__371_1871339591"/>
      <w:bookmarkStart w:id="9" w:name="__Fieldmark__11370_1054394212"/>
      <w:bookmarkStart w:id="10" w:name="__Fieldmark__36456_664726561"/>
      <w:bookmarkStart w:id="11" w:name="__Fieldmark__31937_134483352"/>
      <w:bookmarkStart w:id="12" w:name="__Fieldmark__376_2641989304"/>
      <w:bookmarkStart w:id="13" w:name="__Fieldmark__13175_998823853"/>
      <w:bookmarkStart w:id="14" w:name="__Fieldmark__38567_3674906461"/>
      <w:bookmarkStart w:id="15" w:name="__Fieldmark__9393_3674906461"/>
      <w:bookmarkStart w:id="16" w:name="__Fieldmark__25715_2390621231"/>
      <w:bookmarkStart w:id="17" w:name="__Fieldmark__3256_1549621678"/>
      <w:bookmarkStart w:id="18" w:name="__Fieldmark__6196_2829777977"/>
      <w:bookmarkStart w:id="19" w:name="__Fieldmark__9766_605227952"/>
      <w:bookmarkStart w:id="20" w:name="__Fieldmark__78489_664726561"/>
      <w:bookmarkStart w:id="21" w:name="__Fieldmark__371_221762110"/>
      <w:bookmarkStart w:id="22" w:name="__Fieldmark__26869_1452083309"/>
      <w:bookmarkStart w:id="23" w:name="__Fieldmark__8503_250288050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24" w:name="__Fieldmark__428_2488369542"/>
      <w:bookmarkStart w:id="25" w:name="__Fieldmark__428_2488369542"/>
      <w:bookmarkEnd w:id="25"/>
      <w:r>
        <w:rPr/>
      </w:r>
      <w:r>
        <w:rPr/>
        <w:fldChar w:fldCharType="end"/>
      </w:r>
      <w:bookmarkStart w:id="26" w:name="__Fieldmark__31739_1452083309"/>
      <w:bookmarkStart w:id="27" w:name="__Fieldmark__416_1871339591"/>
      <w:bookmarkStart w:id="28" w:name="__Fieldmark__11409_1054394212"/>
      <w:bookmarkStart w:id="29" w:name="__Fieldmark__36488_664726561"/>
      <w:bookmarkStart w:id="30" w:name="__Fieldmark__31964_134483352"/>
      <w:bookmarkStart w:id="31" w:name="__Fieldmark__397_2641989304"/>
      <w:bookmarkStart w:id="32" w:name="__Fieldmark__13190_998823853"/>
      <w:bookmarkStart w:id="33" w:name="__Fieldmark__38576_3674906461"/>
      <w:bookmarkStart w:id="34" w:name="__Fieldmark__9398_3674906461"/>
      <w:bookmarkStart w:id="35" w:name="__Fieldmark__25727_2390621231"/>
      <w:bookmarkStart w:id="36" w:name="__Fieldmark__3274_1549621678"/>
      <w:bookmarkStart w:id="37" w:name="__Fieldmark__6220_2829777977"/>
      <w:bookmarkStart w:id="38" w:name="__Fieldmark__9796_605227952"/>
      <w:bookmarkStart w:id="39" w:name="__Fieldmark__78525_664726561"/>
      <w:bookmarkStart w:id="40" w:name="__Fieldmark__413_221762110"/>
      <w:bookmarkStart w:id="41" w:name="__Fieldmark__26917_1452083309"/>
      <w:bookmarkStart w:id="42" w:name="__Fieldmark__8557_250288050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rFonts w:cs="Times New Roman"/>
          <w:bCs/>
        </w:rPr>
        <w:t xml:space="preserve"> </w:t>
      </w:r>
      <w:r>
        <w:rPr>
          <w:rFonts w:cs="Times New Roman"/>
        </w:rPr>
        <w:t>Non</w:t>
      </w:r>
    </w:p>
    <w:p>
      <w:pPr>
        <w:pStyle w:val="Normal"/>
        <w:spacing w:before="120" w:after="120"/>
        <w:ind w:left="-284" w:hanging="0"/>
        <w:rPr>
          <w:sz w:val="36"/>
        </w:rPr>
      </w:pPr>
      <w:r>
        <w:rPr>
          <w:sz w:val="36"/>
        </w:rPr>
      </w:r>
    </w:p>
    <w:p>
      <w:pPr>
        <w:pStyle w:val="Normal"/>
        <w:spacing w:before="120" w:after="120"/>
        <w:ind w:left="-284" w:hanging="0"/>
        <w:rPr>
          <w:sz w:val="36"/>
        </w:rPr>
      </w:pPr>
      <w:sdt>
        <w:sdtPr>
          <w14:checkbox>
            <w14:checked w:val=""/>
            <w14:checkedState w:val=""/>
            <w14:uncheckedState w:val=""/>
          </w14:checkbox>
          <w:id w:val="1202080680"/>
        </w:sdtPr>
        <w:sdtContent>
          <w:r>
            <w:rPr>
              <w:rFonts w:eastAsia="MS Gothic" w:ascii="MS Gothic" w:hAnsi="MS Gothic"/>
              <w:sz w:val="36"/>
            </w:rPr>
            <w:t>☐</w:t>
          </w:r>
        </w:sdtContent>
      </w:sdt>
      <w:r>
        <w:rPr>
          <w:sz w:val="36"/>
        </w:rPr>
        <w:t xml:space="preserve"> </w:t>
      </w:r>
      <w:r>
        <w:rPr>
          <w:b/>
        </w:rPr>
        <w:t>Nous soussignés,</w:t>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1</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2144806202"/>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074276201"/>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883162708"/>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2128092001"/>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pPr>
      <w:r>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5">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43" w:name="__Fieldmark__775_2488369542"/>
      <w:bookmarkStart w:id="44" w:name="__Fieldmark__775_2488369542"/>
      <w:bookmarkEnd w:id="44"/>
      <w:r>
        <w:rPr/>
      </w:r>
      <w:r>
        <w:rPr/>
        <w:fldChar w:fldCharType="end"/>
      </w:r>
      <w:bookmarkStart w:id="45" w:name="__Fieldmark__32080_1452083309"/>
      <w:bookmarkStart w:id="46" w:name="__Fieldmark__751_1871339591"/>
      <w:bookmarkStart w:id="47" w:name="__Fieldmark__11738_1054394212"/>
      <w:bookmarkStart w:id="48" w:name="__Fieldmark__36810_664726561"/>
      <w:bookmarkStart w:id="49" w:name="__Fieldmark__32281_134483352"/>
      <w:bookmarkStart w:id="50" w:name="__Fieldmark__708_2641989304"/>
      <w:bookmarkStart w:id="51" w:name="__Fieldmark__13495_998823853"/>
      <w:bookmarkStart w:id="52" w:name="__Fieldmark__38875_3674906461"/>
      <w:bookmarkStart w:id="53" w:name="__Fieldmark__9698_3674906461"/>
      <w:bookmarkStart w:id="54" w:name="__Fieldmark__26029_2390621231"/>
      <w:bookmarkStart w:id="55" w:name="__Fieldmark__3582_1549621678"/>
      <w:bookmarkStart w:id="56" w:name="__Fieldmark__6534_2829777977"/>
      <w:bookmarkStart w:id="57" w:name="__Fieldmark__10116_605227952"/>
      <w:bookmarkStart w:id="58" w:name="__Fieldmark__78851_664726561"/>
      <w:bookmarkStart w:id="59" w:name="__Fieldmark__745_221762110"/>
      <w:bookmarkStart w:id="60" w:name="__Fieldmark__27255_1452083309"/>
      <w:bookmarkStart w:id="61" w:name="__Fieldmark__8901_25028805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62" w:name="__Fieldmark__832_2488369542"/>
      <w:bookmarkStart w:id="63" w:name="__Fieldmark__832_2488369542"/>
      <w:bookmarkEnd w:id="63"/>
      <w:r>
        <w:rPr/>
      </w:r>
      <w:r>
        <w:rPr/>
        <w:fldChar w:fldCharType="end"/>
      </w:r>
      <w:bookmarkStart w:id="64" w:name="__Fieldmark__32131_1452083309"/>
      <w:bookmarkStart w:id="65" w:name="__Fieldmark__796_1871339591"/>
      <w:bookmarkStart w:id="66" w:name="__Fieldmark__11777_1054394212"/>
      <w:bookmarkStart w:id="67" w:name="__Fieldmark__36842_664726561"/>
      <w:bookmarkStart w:id="68" w:name="__Fieldmark__32308_134483352"/>
      <w:bookmarkStart w:id="69" w:name="__Fieldmark__729_2641989304"/>
      <w:bookmarkStart w:id="70" w:name="__Fieldmark__13510_998823853"/>
      <w:bookmarkStart w:id="71" w:name="__Fieldmark__38884_3674906461"/>
      <w:bookmarkStart w:id="72" w:name="__Fieldmark__9703_3674906461"/>
      <w:bookmarkStart w:id="73" w:name="__Fieldmark__26041_2390621231"/>
      <w:bookmarkStart w:id="74" w:name="__Fieldmark__3600_1549621678"/>
      <w:bookmarkStart w:id="75" w:name="__Fieldmark__6558_2829777977"/>
      <w:bookmarkStart w:id="76" w:name="__Fieldmark__10146_605227952"/>
      <w:bookmarkStart w:id="77" w:name="__Fieldmark__78887_664726561"/>
      <w:bookmarkStart w:id="78" w:name="__Fieldmark__787_221762110"/>
      <w:bookmarkStart w:id="79" w:name="__Fieldmark__27303_1452083309"/>
      <w:bookmarkStart w:id="80" w:name="__Fieldmark__8955_250288050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cs="Times New Roman"/>
          <w:bCs/>
        </w:rPr>
        <w:t xml:space="preserve"> </w:t>
      </w:r>
      <w:r>
        <w:rPr>
          <w:rFonts w:cs="Times New Roman"/>
        </w:rPr>
        <w:t>Non</w:t>
      </w:r>
    </w:p>
    <w:p>
      <w:pPr>
        <w:pStyle w:val="Normal"/>
        <w:ind w:left="567" w:hanging="0"/>
        <w:rPr>
          <w:rFonts w:cs="Times New Roman"/>
        </w:rPr>
      </w:pPr>
      <w:r>
        <w:rPr>
          <w:rFonts w:cs="Times New Roman"/>
        </w:rPr>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2</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652040950"/>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780997223"/>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989528977"/>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415731537"/>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81" w:name="__Fieldmark__1176_2488369542"/>
      <w:bookmarkStart w:id="82" w:name="__Fieldmark__1176_2488369542"/>
      <w:bookmarkEnd w:id="82"/>
      <w:r>
        <w:rPr/>
      </w:r>
      <w:r>
        <w:rPr/>
        <w:fldChar w:fldCharType="end"/>
      </w:r>
      <w:bookmarkStart w:id="83" w:name="__Fieldmark__32469_1452083309"/>
      <w:bookmarkStart w:id="84" w:name="__Fieldmark__1128_1871339591"/>
      <w:bookmarkStart w:id="85" w:name="__Fieldmark__12103_1054394212"/>
      <w:bookmarkStart w:id="86" w:name="__Fieldmark__37161_664726561"/>
      <w:bookmarkStart w:id="87" w:name="__Fieldmark__32622_134483352"/>
      <w:bookmarkStart w:id="88" w:name="__Fieldmark__1037_2641989304"/>
      <w:bookmarkStart w:id="89" w:name="__Fieldmark__13812_998823853"/>
      <w:bookmarkStart w:id="90" w:name="__Fieldmark__39180_3674906461"/>
      <w:bookmarkStart w:id="91" w:name="__Fieldmark__10000_3674906461"/>
      <w:bookmarkStart w:id="92" w:name="__Fieldmark__26340_2390621231"/>
      <w:bookmarkStart w:id="93" w:name="__Fieldmark__3905_1549621678"/>
      <w:bookmarkStart w:id="94" w:name="__Fieldmark__6869_2829777977"/>
      <w:bookmarkStart w:id="95" w:name="__Fieldmark__10463_605227952"/>
      <w:bookmarkStart w:id="96" w:name="__Fieldmark__79210_664726561"/>
      <w:bookmarkStart w:id="97" w:name="__Fieldmark__1116_221762110"/>
      <w:bookmarkStart w:id="98" w:name="__Fieldmark__27638_1452083309"/>
      <w:bookmarkStart w:id="99" w:name="__Fieldmark__9296_250288050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00" w:name="__Fieldmark__1233_2488369542"/>
      <w:bookmarkStart w:id="101" w:name="__Fieldmark__1233_2488369542"/>
      <w:bookmarkEnd w:id="101"/>
      <w:r>
        <w:rPr/>
      </w:r>
      <w:r>
        <w:rPr/>
        <w:fldChar w:fldCharType="end"/>
      </w:r>
      <w:bookmarkStart w:id="102" w:name="__Fieldmark__32520_1452083309"/>
      <w:bookmarkStart w:id="103" w:name="__Fieldmark__1173_1871339591"/>
      <w:bookmarkStart w:id="104" w:name="__Fieldmark__12142_1054394212"/>
      <w:bookmarkStart w:id="105" w:name="__Fieldmark__37193_664726561"/>
      <w:bookmarkStart w:id="106" w:name="__Fieldmark__32649_134483352"/>
      <w:bookmarkStart w:id="107" w:name="__Fieldmark__1058_2641989304"/>
      <w:bookmarkStart w:id="108" w:name="__Fieldmark__13827_998823853"/>
      <w:bookmarkStart w:id="109" w:name="__Fieldmark__39189_3674906461"/>
      <w:bookmarkStart w:id="110" w:name="__Fieldmark__10005_3674906461"/>
      <w:bookmarkStart w:id="111" w:name="__Fieldmark__26352_2390621231"/>
      <w:bookmarkStart w:id="112" w:name="__Fieldmark__3923_1549621678"/>
      <w:bookmarkStart w:id="113" w:name="__Fieldmark__6893_2829777977"/>
      <w:bookmarkStart w:id="114" w:name="__Fieldmark__10493_605227952"/>
      <w:bookmarkStart w:id="115" w:name="__Fieldmark__79246_664726561"/>
      <w:bookmarkStart w:id="116" w:name="__Fieldmark__1158_221762110"/>
      <w:bookmarkStart w:id="117" w:name="__Fieldmark__27686_1452083309"/>
      <w:bookmarkStart w:id="118" w:name="__Fieldmark__9350_250288050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cs="Times New Roman"/>
          <w:bCs/>
        </w:rPr>
        <w:t xml:space="preserve"> </w:t>
      </w:r>
      <w:r>
        <w:rPr>
          <w:rFonts w:cs="Times New Roman"/>
        </w:rPr>
        <w:t>Non</w:t>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3</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565109796"/>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689830621"/>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2029561485"/>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058328406"/>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7">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19" w:name="__Fieldmark__1577_2488369542"/>
      <w:bookmarkStart w:id="120" w:name="__Fieldmark__1577_2488369542"/>
      <w:bookmarkEnd w:id="120"/>
      <w:r>
        <w:rPr/>
      </w:r>
      <w:r>
        <w:rPr/>
        <w:fldChar w:fldCharType="end"/>
      </w:r>
      <w:bookmarkStart w:id="121" w:name="__Fieldmark__32858_1452083309"/>
      <w:bookmarkStart w:id="122" w:name="__Fieldmark__1505_1871339591"/>
      <w:bookmarkStart w:id="123" w:name="__Fieldmark__12468_1054394212"/>
      <w:bookmarkStart w:id="124" w:name="__Fieldmark__37512_664726561"/>
      <w:bookmarkStart w:id="125" w:name="__Fieldmark__32963_134483352"/>
      <w:bookmarkStart w:id="126" w:name="__Fieldmark__1366_2641989304"/>
      <w:bookmarkStart w:id="127" w:name="__Fieldmark__14129_998823853"/>
      <w:bookmarkStart w:id="128" w:name="__Fieldmark__39485_3674906461"/>
      <w:bookmarkStart w:id="129" w:name="__Fieldmark__10303_3674906461"/>
      <w:bookmarkStart w:id="130" w:name="__Fieldmark__26651_2390621231"/>
      <w:bookmarkStart w:id="131" w:name="__Fieldmark__4228_1549621678"/>
      <w:bookmarkStart w:id="132" w:name="__Fieldmark__7204_2829777977"/>
      <w:bookmarkStart w:id="133" w:name="__Fieldmark__10810_605227952"/>
      <w:bookmarkStart w:id="134" w:name="__Fieldmark__79569_664726561"/>
      <w:bookmarkStart w:id="135" w:name="__Fieldmark__1487_221762110"/>
      <w:bookmarkStart w:id="136" w:name="__Fieldmark__28021_1452083309"/>
      <w:bookmarkStart w:id="137" w:name="__Fieldmark__9691_250288050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38" w:name="__Fieldmark__1634_2488369542"/>
      <w:bookmarkStart w:id="139" w:name="__Fieldmark__1634_2488369542"/>
      <w:bookmarkEnd w:id="139"/>
      <w:r>
        <w:rPr/>
      </w:r>
      <w:r>
        <w:rPr/>
        <w:fldChar w:fldCharType="end"/>
      </w:r>
      <w:bookmarkStart w:id="140" w:name="__Fieldmark__32909_1452083309"/>
      <w:bookmarkStart w:id="141" w:name="__Fieldmark__1550_1871339591"/>
      <w:bookmarkStart w:id="142" w:name="__Fieldmark__12507_1054394212"/>
      <w:bookmarkStart w:id="143" w:name="__Fieldmark__37544_664726561"/>
      <w:bookmarkStart w:id="144" w:name="__Fieldmark__32990_134483352"/>
      <w:bookmarkStart w:id="145" w:name="__Fieldmark__1387_2641989304"/>
      <w:bookmarkStart w:id="146" w:name="__Fieldmark__14144_998823853"/>
      <w:bookmarkStart w:id="147" w:name="__Fieldmark__39494_3674906461"/>
      <w:bookmarkStart w:id="148" w:name="__Fieldmark__10308_3674906461"/>
      <w:bookmarkStart w:id="149" w:name="__Fieldmark__26663_2390621231"/>
      <w:bookmarkStart w:id="150" w:name="__Fieldmark__4246_1549621678"/>
      <w:bookmarkStart w:id="151" w:name="__Fieldmark__7228_2829777977"/>
      <w:bookmarkStart w:id="152" w:name="__Fieldmark__10840_605227952"/>
      <w:bookmarkStart w:id="153" w:name="__Fieldmark__79605_664726561"/>
      <w:bookmarkStart w:id="154" w:name="__Fieldmark__1529_221762110"/>
      <w:bookmarkStart w:id="155" w:name="__Fieldmark__28069_1452083309"/>
      <w:bookmarkStart w:id="156" w:name="__Fieldmark__9745_250288050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rFonts w:cs="Times New Roman"/>
          <w:bCs/>
        </w:rPr>
        <w:t xml:space="preserve"> </w:t>
      </w:r>
      <w:r>
        <w:rPr>
          <w:rFonts w:cs="Times New Roman"/>
        </w:rPr>
        <w:t>Non</w:t>
      </w:r>
    </w:p>
    <w:p>
      <w:pPr>
        <w:pStyle w:val="Normal"/>
        <w:rPr/>
      </w:pPr>
      <w:r>
        <w:rPr/>
      </w:r>
    </w:p>
    <w:p>
      <w:pPr>
        <w:pStyle w:val="Normal"/>
        <w:rPr/>
      </w:pPr>
      <w:r>
        <w:rPr/>
      </w:r>
    </w:p>
    <w:p>
      <w:pPr>
        <w:pStyle w:val="Normal"/>
        <w:rPr/>
      </w:pPr>
      <w:r>
        <w:rPr/>
      </w:r>
    </w:p>
    <w:p>
      <w:pPr>
        <w:pStyle w:val="Normal"/>
        <w:rPr/>
      </w:pPr>
      <w:bookmarkStart w:id="157" w:name="CCAP"/>
      <w:r>
        <w:rPr/>
        <w:t>Après avoir :</w:t>
      </w:r>
      <w:bookmarkEnd w:id="157"/>
    </w:p>
    <w:p>
      <w:pPr>
        <w:pStyle w:val="Paragraphe"/>
        <w:numPr>
          <w:ilvl w:val="0"/>
          <w:numId w:val="1"/>
        </w:numPr>
        <w:tabs>
          <w:tab w:val="clear" w:pos="709"/>
          <w:tab w:val="left" w:pos="284" w:leader="none"/>
        </w:tabs>
        <w:rPr/>
      </w:pPr>
      <w:r>
        <w:rPr/>
        <w:t>pris connaissance du cahier des clauses administratives particulières (CCAP) du marché public ainsi que les documents qui y sont mentionnés ;</w:t>
      </w:r>
    </w:p>
    <w:p>
      <w:pPr>
        <w:pStyle w:val="Normal"/>
        <w:numPr>
          <w:ilvl w:val="0"/>
          <w:numId w:val="1"/>
        </w:numPr>
        <w:tabs>
          <w:tab w:val="clear" w:pos="709"/>
          <w:tab w:val="left" w:pos="284" w:leader="none"/>
        </w:tabs>
        <w:spacing w:before="120" w:after="0"/>
        <w:rPr/>
      </w:pPr>
      <w:r>
        <w:rPr/>
        <w:t>produit les documents et renseignements visés aux articles R.2143-3 et R.2143-4 du Code de la commande publique ;</w:t>
      </w:r>
    </w:p>
    <w:p>
      <w:pPr>
        <w:pStyle w:val="Paragraphe"/>
        <w:ind w:left="567" w:hanging="567"/>
        <w:rPr/>
      </w:pPr>
      <w:sdt>
        <w:sdtPr>
          <w14:checkbox>
            <w14:checked w:val=""/>
            <w14:checkedState w:val=""/>
            <w14:uncheckedState w:val=""/>
          </w14:checkbox>
          <w:id w:val="326763112"/>
        </w:sdtPr>
        <w:sdtContent>
          <w:r>
            <w:rPr>
              <w:rFonts w:eastAsia="MS Gothic" w:ascii="MS Gothic" w:hAnsi="MS Gothic"/>
              <w:sz w:val="36"/>
            </w:rPr>
            <w:t>☐</w:t>
          </w:r>
        </w:sdtContent>
      </w:sdt>
      <w:r>
        <w:rPr>
          <w:sz w:val="36"/>
        </w:rPr>
        <w:t xml:space="preserve"> </w:t>
      </w:r>
      <w:r>
        <w:rPr>
          <w:b/>
          <w:u w:val="single"/>
        </w:rPr>
        <w:t>m'engage</w:t>
      </w:r>
      <w:r>
        <w:rPr/>
        <w:t xml:space="preserve"> sans réserve,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me</w:t>
      </w:r>
      <w:r>
        <w:rPr/>
        <w:t xml:space="preserve"> lie toutefois que si son acceptation </w:t>
      </w:r>
      <w:r>
        <w:rPr>
          <w:b/>
          <w:u w:val="single"/>
        </w:rPr>
        <w:t>m'</w:t>
      </w:r>
      <w:r>
        <w:rPr/>
        <w:t>est notifiée dans un délai de 8 mois</w:t>
      </w:r>
      <w:r>
        <w:rPr>
          <w:color w:val="FF0000"/>
        </w:rPr>
        <w:t xml:space="preserve"> </w:t>
      </w:r>
      <w:r>
        <w:rPr/>
        <w:t>à compter de la date limite de remise des offres fixée par le règlement de la consultation.</w:t>
      </w:r>
    </w:p>
    <w:p>
      <w:pPr>
        <w:pStyle w:val="Normal"/>
        <w:tabs>
          <w:tab w:val="clear" w:pos="709"/>
          <w:tab w:val="left" w:pos="-3828" w:leader="none"/>
        </w:tabs>
        <w:spacing w:before="120" w:after="120"/>
        <w:rPr/>
      </w:pPr>
      <w:sdt>
        <w:sdtPr>
          <w14:checkbox>
            <w14:checked w:val=""/>
            <w14:checkedState w:val=""/>
            <w14:uncheckedState w:val=""/>
          </w14:checkbox>
          <w:id w:val="1136990534"/>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solidaires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Paragraphe"/>
        <w:ind w:left="567" w:hanging="0"/>
        <w:rPr/>
      </w:pPr>
      <w:r>
        <w:rPr/>
      </w:r>
    </w:p>
    <w:p>
      <w:pPr>
        <w:pStyle w:val="Normal"/>
        <w:tabs>
          <w:tab w:val="clear" w:pos="709"/>
          <w:tab w:val="left" w:pos="-3828" w:leader="none"/>
        </w:tabs>
        <w:spacing w:before="0" w:after="120"/>
        <w:rPr/>
      </w:pPr>
      <w:sdt>
        <w:sdtPr>
          <w14:checkbox>
            <w14:checked w:val=""/>
            <w14:checkedState w:val=""/>
            <w14:uncheckedState w:val=""/>
          </w14:checkbox>
          <w:id w:val="1428608941"/>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conjoints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 et, conformément aux stipulations des documents cités ci-dessus, à exécuter les prestations du présent marché public dans les conditions ci-après définies et selon la répartition des prestations précisée en annexe au présent acte d'engagement.</w:t>
      </w:r>
    </w:p>
    <w:p>
      <w:pPr>
        <w:pStyle w:val="Paragraphe"/>
        <w:ind w:left="567" w:hanging="0"/>
        <w:rPr/>
      </w:pPr>
      <w:r>
        <w:rPr/>
        <w:t xml:space="preserve">Le mandataire du groupement conjoint </w:t>
      </w:r>
      <w:r>
        <w:rPr>
          <w:b/>
        </w:rPr>
        <w:t>est solidaire</w:t>
      </w:r>
      <w:r>
        <w:rPr/>
        <w:t xml:space="preserve"> de chacun des membres du groupement pour ses obligations contractuelles à l'égard de l’acheteur, pour l'exécution du marché public.</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Titre1"/>
        <w:rPr/>
      </w:pPr>
      <w:r>
        <w:rPr/>
        <w:t>ARTICLE 2. PRESTATIONS ET PRIX</w:t>
      </w:r>
    </w:p>
    <w:p>
      <w:pPr>
        <w:pStyle w:val="Titre2"/>
        <w:rPr/>
      </w:pPr>
      <w:r>
        <w:rPr/>
        <w:t>2-1. Montant du marché public</w:t>
      </w:r>
    </w:p>
    <w:p>
      <w:pPr>
        <w:pStyle w:val="Paragraphe"/>
        <w:rPr/>
      </w:pPr>
      <w:r>
        <w:rPr/>
        <w:t>L'offre de prix est établie sur la base des conditions économiques en vigueur au mois m</w:t>
      </w:r>
      <w:r>
        <w:rPr>
          <w:vertAlign w:val="subscript"/>
        </w:rPr>
        <w:t>0</w:t>
      </w:r>
      <w:r>
        <w:rPr/>
        <w:t xml:space="preserve"> défini à l'article 3-3.2 du CCAP.</w:t>
      </w:r>
    </w:p>
    <w:p>
      <w:pPr>
        <w:pStyle w:val="Normal"/>
        <w:rPr/>
      </w:pPr>
      <w:r>
        <w:rPr/>
      </w:r>
    </w:p>
    <w:p>
      <w:pPr>
        <w:pStyle w:val="Normal"/>
        <w:rPr/>
      </w:pPr>
      <w:r>
        <w:rPr/>
        <w:t>Le présent marché public est conclu :</w:t>
      </w:r>
    </w:p>
    <w:p>
      <w:pPr>
        <w:pStyle w:val="ListParagraph"/>
        <w:numPr>
          <w:ilvl w:val="0"/>
          <w:numId w:val="1"/>
        </w:numPr>
        <w:rPr/>
      </w:pPr>
      <w:r>
        <w:rPr/>
        <w:t>Sans montant minimum ;</w:t>
      </w:r>
    </w:p>
    <w:p>
      <w:pPr>
        <w:pStyle w:val="ListParagraph"/>
        <w:numPr>
          <w:ilvl w:val="0"/>
          <w:numId w:val="1"/>
        </w:numPr>
        <w:rPr/>
      </w:pPr>
      <w:r>
        <w:rPr>
          <w:color w:val="000000"/>
        </w:rPr>
        <w:t xml:space="preserve">Avec un montant maximum de </w:t>
      </w:r>
      <w:r>
        <w:rPr>
          <w:color w:val="000000"/>
        </w:rPr>
        <w:t>1</w:t>
      </w:r>
      <w:r>
        <w:rPr>
          <w:color w:val="000000"/>
        </w:rPr>
        <w:t> 000 000 € TTC par période de douze (12) mois.</w:t>
      </w:r>
    </w:p>
    <w:p>
      <w:pPr>
        <w:pStyle w:val="Normal"/>
        <w:rPr/>
      </w:pPr>
      <w:r>
        <w:rPr/>
      </w:r>
    </w:p>
    <w:p>
      <w:pPr>
        <w:pStyle w:val="Normal"/>
        <w:keepNext w:val="true"/>
        <w:spacing w:before="240" w:after="120"/>
        <w:ind w:left="-284" w:hanging="0"/>
        <w:rPr/>
      </w:pPr>
      <w:sdt>
        <w:sdtPr>
          <w14:checkbox>
            <w14:checked w:val=""/>
            <w14:checkedState w:val=""/>
            <w14:uncheckedState w:val=""/>
          </w14:checkbox>
          <w:id w:val="111431899"/>
        </w:sdtPr>
        <w:sdtContent>
          <w:r>
            <w:rPr>
              <w:rFonts w:eastAsia="MS Gothic" w:ascii="MS Gothic" w:hAnsi="MS Gothic"/>
              <w:sz w:val="36"/>
            </w:rPr>
            <w:t>☐</w:t>
          </w:r>
        </w:sdtContent>
      </w:sdt>
      <w:r>
        <w:rPr>
          <w:sz w:val="36"/>
        </w:rPr>
        <w:t xml:space="preserve">  </w:t>
      </w:r>
      <w:r>
        <w:rPr>
          <w:b/>
          <w:u w:val="single"/>
        </w:rPr>
        <w:t>Groupement conjoint</w:t>
      </w:r>
    </w:p>
    <w:p>
      <w:pPr>
        <w:pStyle w:val="Paragraphe"/>
        <w:rPr/>
      </w:pPr>
      <w:r>
        <w:rPr/>
        <w:t xml:space="preserve">Le détail des prestations exécutées par chacun des membres du </w:t>
      </w:r>
      <w:r>
        <w:rPr>
          <w:b/>
        </w:rPr>
        <w:t>groupement conjoint</w:t>
      </w:r>
      <w:r>
        <w:rPr/>
        <w:t xml:space="preserve"> ainsi que la répartition de la rémunération correspondante sont joints en annexe au présent acte d'engagement.</w:t>
      </w:r>
    </w:p>
    <w:p>
      <w:pPr>
        <w:pStyle w:val="Paragraphe"/>
        <w:rPr/>
      </w:pPr>
      <w:r>
        <w:rPr/>
        <w:t>Le mandataire y indique en outre le montant de sa prestation de mandat.</w:t>
      </w:r>
    </w:p>
    <w:p>
      <w:pPr>
        <w:pStyle w:val="Paragraphe"/>
        <w:rPr/>
      </w:pPr>
      <w:r>
        <w:rPr/>
      </w:r>
    </w:p>
    <w:p>
      <w:pPr>
        <w:pStyle w:val="Paragraphe"/>
        <w:rPr/>
      </w:pPr>
      <w:r>
        <w:rPr/>
      </w:r>
    </w:p>
    <w:p>
      <w:pPr>
        <w:pStyle w:val="Titre2"/>
        <w:spacing w:before="0" w:after="238"/>
        <w:rPr/>
      </w:pPr>
      <w:r>
        <w:rPr/>
        <w:t>2-2. Montant sous-traité</w:t>
      </w:r>
      <w:r>
        <w:rPr>
          <w:b w:val="false"/>
          <w:bCs w:val="false"/>
          <w:u w:val="none"/>
        </w:rPr>
        <w:t xml:space="preserve"> </w:t>
      </w:r>
    </w:p>
    <w:p>
      <w:pPr>
        <w:pStyle w:val="Paragraphe"/>
        <w:rPr/>
      </w:pPr>
      <w:r>
        <w:rPr/>
        <w:t>En cas de recours à la sous-traitance, conformément aux articles L.2193-4, L.2193-5 et R.2193-1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pPr>
        <w:pStyle w:val="Paragraphe"/>
        <w:rPr/>
      </w:pPr>
      <w:r>
        <w:rPr/>
        <w:t>Chaque formulaire annexé constitue une demande d'acceptation du sous-traitant concerné et d'agrément des conditions de paiement du contrat de sous-traitance. La notification du marché public est réputée emporter acceptation du sous-traitant et agrément des conditions de paiement du contrat de sous-traitance.</w:t>
      </w:r>
    </w:p>
    <w:p>
      <w:pPr>
        <w:pStyle w:val="Paragraphe"/>
        <w:keepNext w:val="true"/>
        <w:keepLines/>
        <w:ind w:left="-284" w:hanging="0"/>
        <w:rPr/>
      </w:pPr>
      <w:sdt>
        <w:sdtPr>
          <w14:checkbox>
            <w14:checked w:val=""/>
            <w14:checkedState w:val=""/>
            <w14:uncheckedState w:val=""/>
          </w14:checkbox>
          <w:id w:val="1144625035"/>
        </w:sdtPr>
        <w:sdtContent>
          <w:r>
            <w:rPr>
              <w:rFonts w:eastAsia="MS Gothic" w:ascii="MS Gothic" w:hAnsi="MS Gothic"/>
              <w:sz w:val="36"/>
            </w:rPr>
            <w:t>☐</w:t>
          </w:r>
        </w:sdtContent>
      </w:sdt>
      <w:r>
        <w:rPr/>
        <w:t xml:space="preserve">  </w:t>
      </w:r>
      <w:r>
        <w:rPr>
          <w:b/>
          <w:u w:val="single"/>
        </w:rPr>
        <w:t>Prestataire unique</w:t>
      </w:r>
    </w:p>
    <w:p>
      <w:pPr>
        <w:pStyle w:val="Paragraphe"/>
        <w:keepNext w:val="true"/>
        <w:keepLines/>
        <w:rPr/>
      </w:pPr>
      <w:r>
        <w:rPr/>
        <w:t>Le montant total des prestations sous-traitées conformément à ces formulaires annexés est de :</w:t>
      </w:r>
    </w:p>
    <w:tbl>
      <w:tblPr>
        <w:tblW w:w="6583" w:type="dxa"/>
        <w:jc w:val="left"/>
        <w:tblInd w:w="1488" w:type="dxa"/>
        <w:tblLayout w:type="fixed"/>
        <w:tblCellMar>
          <w:top w:w="0" w:type="dxa"/>
          <w:left w:w="70" w:type="dxa"/>
          <w:bottom w:w="0" w:type="dxa"/>
          <w:right w:w="70" w:type="dxa"/>
        </w:tblCellMar>
        <w:tblLook w:firstRow="0" w:noVBand="0" w:lastRow="0" w:firstColumn="0" w:lastColumn="0" w:noHBand="0" w:val="0000"/>
      </w:tblPr>
      <w:tblGrid>
        <w:gridCol w:w="3259"/>
        <w:gridCol w:w="3160"/>
        <w:gridCol w:w="164"/>
      </w:tblGrid>
      <w:tr>
        <w:trPr/>
        <w:tc>
          <w:tcPr>
            <w:tcW w:w="3259" w:type="dxa"/>
            <w:tcBorders/>
          </w:tcPr>
          <w:p>
            <w:pPr>
              <w:pStyle w:val="Paragraphe"/>
              <w:keepNext w:val="true"/>
              <w:keepLines/>
              <w:widowControl w:val="false"/>
              <w:numPr>
                <w:ilvl w:val="0"/>
                <w:numId w:val="2"/>
              </w:numPr>
              <w:tabs>
                <w:tab w:val="clear" w:pos="709"/>
                <w:tab w:val="left" w:pos="720" w:leader="none"/>
              </w:tabs>
              <w:snapToGrid w:val="false"/>
              <w:spacing w:before="0" w:after="0"/>
              <w:rPr/>
            </w:pPr>
            <w:r>
              <w:rPr/>
              <w:t>Montant hors TVA</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r>
        <w:trPr>
          <w:trHeight w:val="60" w:hRule="exact"/>
        </w:trPr>
        <w:tc>
          <w:tcPr>
            <w:tcW w:w="3259" w:type="dxa"/>
            <w:tcBorders/>
          </w:tcPr>
          <w:p>
            <w:pPr>
              <w:pStyle w:val="Paragraphe"/>
              <w:keepNext w:val="true"/>
              <w:keepLines/>
              <w:widowControl w:val="false"/>
              <w:snapToGrid w:val="false"/>
              <w:spacing w:before="0" w:after="0"/>
              <w:rPr>
                <w:sz w:val="16"/>
              </w:rPr>
            </w:pPr>
            <w:r>
              <w:rPr>
                <w:sz w:val="16"/>
              </w:rPr>
            </w:r>
          </w:p>
        </w:tc>
        <w:tc>
          <w:tcPr>
            <w:tcW w:w="3160" w:type="dxa"/>
            <w:tcBorders/>
          </w:tcPr>
          <w:p>
            <w:pPr>
              <w:pStyle w:val="Paragraphe"/>
              <w:keepNext w:val="true"/>
              <w:keepLines/>
              <w:widowControl w:val="false"/>
              <w:snapToGrid w:val="false"/>
              <w:spacing w:before="0" w:after="0"/>
              <w:rPr>
                <w:sz w:val="16"/>
              </w:rPr>
            </w:pPr>
            <w:r>
              <w:rPr>
                <w:sz w:val="16"/>
              </w:rPr>
            </w:r>
          </w:p>
        </w:tc>
        <w:tc>
          <w:tcPr>
            <w:tcW w:w="164" w:type="dxa"/>
            <w:tcBorders/>
          </w:tcPr>
          <w:p>
            <w:pPr>
              <w:pStyle w:val="Paragraphe"/>
              <w:keepNext w:val="true"/>
              <w:keepLines/>
              <w:widowControl w:val="false"/>
              <w:snapToGrid w:val="false"/>
              <w:spacing w:before="0" w:after="0"/>
              <w:jc w:val="left"/>
              <w:rPr>
                <w:sz w:val="16"/>
              </w:rPr>
            </w:pPr>
            <w:r>
              <w:rPr>
                <w:sz w:val="16"/>
              </w:rPr>
            </w:r>
          </w:p>
        </w:tc>
      </w:tr>
      <w:tr>
        <w:trPr/>
        <w:tc>
          <w:tcPr>
            <w:tcW w:w="3259" w:type="dxa"/>
            <w:tcBorders/>
          </w:tcPr>
          <w:p>
            <w:pPr>
              <w:pStyle w:val="Paragraphe"/>
              <w:keepNext w:val="true"/>
              <w:keepLines/>
              <w:widowControl w:val="false"/>
              <w:numPr>
                <w:ilvl w:val="0"/>
                <w:numId w:val="9"/>
              </w:numPr>
              <w:tabs>
                <w:tab w:val="clear" w:pos="709"/>
                <w:tab w:val="left" w:pos="720" w:leader="none"/>
              </w:tabs>
              <w:snapToGrid w:val="false"/>
              <w:spacing w:before="0" w:after="0"/>
              <w:rPr/>
            </w:pPr>
            <w:r>
              <w:rPr/>
              <w:t>Montant TVA incluse</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bl>
    <w:p>
      <w:pPr>
        <w:pStyle w:val="Normal"/>
        <w:spacing w:before="240" w:after="0"/>
        <w:rPr/>
      </w:pPr>
      <w:r>
        <w:rPr/>
        <w:t>Les déclarations et attestations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175607966"/>
        </w:sdtPr>
        <w:sdtContent>
          <w:r>
            <w:rPr>
              <w:rFonts w:eastAsia="MS Gothic" w:ascii="MS Gothic" w:hAnsi="MS Gothic"/>
              <w:sz w:val="36"/>
            </w:rPr>
            <w:t>☐</w:t>
          </w:r>
        </w:sdtContent>
      </w:sdt>
      <w:r>
        <w:rPr/>
        <w:t xml:space="preserve">  </w:t>
      </w:r>
      <w:r>
        <w:rPr>
          <w:b/>
          <w:u w:val="single"/>
        </w:rPr>
        <w:t>Groupement solidaire</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double"/>
        <w:rPr/>
      </w:pPr>
      <w:r>
        <w:rPr/>
        <w:t>Les déclarations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1600822083"/>
        </w:sdtPr>
        <w:sdtContent>
          <w:r>
            <w:rPr>
              <w:rFonts w:eastAsia="MS Gothic" w:ascii="MS Gothic" w:hAnsi="MS Gothic"/>
              <w:sz w:val="36"/>
            </w:rPr>
            <w:t>☐</w:t>
          </w:r>
        </w:sdtContent>
      </w:sdt>
      <w:r>
        <w:rPr/>
        <w:t xml:space="preserve">  </w:t>
      </w:r>
      <w:r>
        <w:rPr>
          <w:b/>
          <w:u w:val="single"/>
        </w:rPr>
        <w:t>Groupement conjoint</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graphe"/>
        <w:rPr/>
      </w:pPr>
      <w:r>
        <w:rPr/>
        <w:t>Les déclarations et attestations (article R.2193-1 du Code de la commande publique) des sous-traitants recensés dans les formulaires annexés, sont jointes au présent acte d'engagement.</w:t>
      </w:r>
    </w:p>
    <w:p>
      <w:pPr>
        <w:pStyle w:val="Titre1"/>
        <w:rPr/>
      </w:pPr>
      <w:r>
        <w:rPr/>
        <w:t>ARTICLE 3. DÉLAI DE RÉALISATION</w:t>
      </w:r>
    </w:p>
    <w:p>
      <w:pPr>
        <w:pStyle w:val="Titre2"/>
        <w:spacing w:before="0" w:after="238"/>
        <w:rPr/>
      </w:pPr>
      <w:r>
        <w:rPr/>
        <w:t>3-1. Durée du marché public</w:t>
      </w:r>
    </w:p>
    <w:p>
      <w:pPr>
        <w:pStyle w:val="Paragraphe"/>
        <w:rPr>
          <w:strike/>
        </w:rPr>
      </w:pPr>
      <w:r>
        <w:rPr/>
        <w:t>Le marché est conclu pour une période ferme de douze (12) mois (à compter de la date de notification), renouvelable par reconduction tacite, dans la limite de trois (3) reconductions.</w:t>
      </w:r>
    </w:p>
    <w:p>
      <w:pPr>
        <w:pStyle w:val="Normal"/>
        <w:snapToGrid w:val="false"/>
        <w:jc w:val="left"/>
        <w:rPr>
          <w:rFonts w:cs="Times New Roman"/>
          <w:color w:val="00B050"/>
        </w:rPr>
      </w:pPr>
      <w:r>
        <w:rPr>
          <w:rFonts w:cs="Times New Roman"/>
          <w:u w:val="single"/>
        </w:rPr>
        <w:t>Reconduction du marché public</w:t>
      </w:r>
      <w:r>
        <w:rPr>
          <w:rFonts w:cs="Times New Roman"/>
        </w:rPr>
        <w:t> :</w:t>
      </w:r>
    </w:p>
    <w:p>
      <w:pPr>
        <w:pStyle w:val="Normal"/>
        <w:snapToGrid w:val="false"/>
        <w:jc w:val="left"/>
        <w:rPr>
          <w:rFonts w:cs="Times New Roman"/>
          <w:color w:val="00B050"/>
        </w:rPr>
      </w:pPr>
      <w:r>
        <w:rPr>
          <w:rFonts w:cs="Times New Roman"/>
        </w:rPr>
        <w:t>Chaque reconduction est d’une durée d’un an et débute le lendemain de l’expiration de la période précédente :</w:t>
      </w:r>
    </w:p>
    <w:p>
      <w:pPr>
        <w:pStyle w:val="Normal"/>
        <w:snapToGrid w:val="false"/>
        <w:jc w:val="left"/>
        <w:rPr>
          <w:rFonts w:cs="Times New Roman"/>
          <w:color w:val="00B050"/>
        </w:rPr>
      </w:pPr>
      <w:r>
        <w:rPr>
          <w:rFonts w:cs="Times New Roman"/>
          <w:color w:val="00B050"/>
        </w:rPr>
      </w:r>
    </w:p>
    <w:tbl>
      <w:tblPr>
        <w:tblW w:w="9360" w:type="dxa"/>
        <w:jc w:val="left"/>
        <w:tblInd w:w="57" w:type="dxa"/>
        <w:tblLayout w:type="fixed"/>
        <w:tblCellMar>
          <w:top w:w="55" w:type="dxa"/>
          <w:left w:w="55" w:type="dxa"/>
          <w:bottom w:w="55" w:type="dxa"/>
          <w:right w:w="55" w:type="dxa"/>
        </w:tblCellMar>
        <w:tblLook w:firstRow="1" w:noVBand="1" w:lastRow="0" w:firstColumn="1" w:lastColumn="0" w:noHBand="0" w:val="04a0"/>
      </w:tblPr>
      <w:tblGrid>
        <w:gridCol w:w="3405"/>
        <w:gridCol w:w="5954"/>
      </w:tblGrid>
      <w:tr>
        <w:trPr/>
        <w:tc>
          <w:tcPr>
            <w:tcW w:w="3405" w:type="dxa"/>
            <w:tcBorders>
              <w:top w:val="single" w:sz="2" w:space="0" w:color="000000"/>
              <w:left w:val="single" w:sz="2" w:space="0" w:color="000000"/>
              <w:bottom w:val="single" w:sz="2" w:space="0" w:color="000000"/>
            </w:tcBorders>
          </w:tcPr>
          <w:p>
            <w:pPr>
              <w:pStyle w:val="Contenudetableau"/>
              <w:widowControl w:val="false"/>
              <w:jc w:val="center"/>
              <w:rPr>
                <w:b/>
                <w:b/>
                <w:bCs/>
              </w:rPr>
            </w:pPr>
            <w:r>
              <w:rPr>
                <w:b/>
                <w:bCs/>
              </w:rPr>
              <w:t>Périodes</w:t>
            </w:r>
          </w:p>
        </w:tc>
        <w:tc>
          <w:tcPr>
            <w:tcW w:w="5954" w:type="dxa"/>
            <w:tcBorders>
              <w:top w:val="single" w:sz="2" w:space="0" w:color="000000"/>
              <w:left w:val="single" w:sz="2" w:space="0" w:color="000000"/>
              <w:bottom w:val="single" w:sz="2" w:space="0" w:color="000000"/>
              <w:right w:val="single" w:sz="2" w:space="0" w:color="000000"/>
            </w:tcBorders>
          </w:tcPr>
          <w:p>
            <w:pPr>
              <w:pStyle w:val="Contenudetableau"/>
              <w:widowControl w:val="false"/>
              <w:jc w:val="center"/>
              <w:rPr>
                <w:b/>
                <w:b/>
                <w:bCs/>
              </w:rPr>
            </w:pPr>
            <w:r>
              <w:rPr>
                <w:b/>
                <w:bCs/>
              </w:rPr>
              <w:t>Dates</w:t>
            </w:r>
          </w:p>
        </w:tc>
      </w:tr>
      <w:tr>
        <w:trPr/>
        <w:tc>
          <w:tcPr>
            <w:tcW w:w="3405" w:type="dxa"/>
            <w:tcBorders>
              <w:left w:val="single" w:sz="2" w:space="0" w:color="000000"/>
              <w:bottom w:val="single" w:sz="2" w:space="0" w:color="000000"/>
            </w:tcBorders>
          </w:tcPr>
          <w:p>
            <w:pPr>
              <w:pStyle w:val="Contenudetableau"/>
              <w:widowControl w:val="false"/>
              <w:rPr/>
            </w:pPr>
            <w:r>
              <w:rPr/>
              <w:t>Reconduction n°1</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ferme,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n°2</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n°1,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n°3</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n°2, pour une durée d’un an.</w:t>
            </w:r>
          </w:p>
        </w:tc>
      </w:tr>
    </w:tbl>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 titulaire ne peut refuser la reconduction.</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Dans le cas où l’acheteur ne souhaite pas reconduire le marché, il devra le notifier au titulaire du marché, au moins deux (2) mois avant la fin de la période.</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Les commandes pourront être adressées dès notification du marché.</w:t>
      </w:r>
    </w:p>
    <w:p>
      <w:pPr>
        <w:pStyle w:val="Default"/>
        <w:jc w:val="both"/>
        <w:rPr>
          <w:rFonts w:ascii="Times New Roman" w:hAnsi="Times New Roman" w:cs="Times New Roman"/>
          <w:color w:val="auto"/>
        </w:rPr>
      </w:pPr>
      <w:r>
        <w:rPr>
          <w:rFonts w:cs="Times New Roman" w:ascii="Times New Roman" w:hAnsi="Times New Roman"/>
          <w:color w:val="auto"/>
        </w:rPr>
      </w:r>
    </w:p>
    <w:p>
      <w:pPr>
        <w:pStyle w:val="Titre2"/>
        <w:spacing w:before="0" w:after="238"/>
        <w:rPr/>
      </w:pPr>
      <w:r>
        <w:rPr/>
        <w:t>3-2. Délais d’exécution</w:t>
      </w:r>
    </w:p>
    <w:p>
      <w:pPr>
        <w:pStyle w:val="Normal"/>
        <w:numPr>
          <w:ilvl w:val="0"/>
          <w:numId w:val="4"/>
        </w:numPr>
        <w:rPr>
          <w:b/>
          <w:b/>
          <w:bCs/>
          <w:u w:val="single"/>
        </w:rPr>
      </w:pPr>
      <w:r>
        <w:rPr>
          <w:b/>
          <w:bCs/>
          <w:u w:val="single"/>
        </w:rPr>
        <w:t>Délai d’exécution des bons de commande</w:t>
      </w:r>
    </w:p>
    <w:p>
      <w:pPr>
        <w:pStyle w:val="Normal"/>
        <w:rPr/>
      </w:pPr>
      <w:r>
        <w:rPr/>
      </w:r>
    </w:p>
    <w:p>
      <w:pPr>
        <w:pStyle w:val="Normal"/>
        <w:rPr/>
      </w:pPr>
      <w:r>
        <w:rPr/>
        <w:t>Le délai d’exécution afférent à chaque commande, ainsi que son point de départ, seront précisés dans le bon de commande.</w:t>
      </w:r>
    </w:p>
    <w:p>
      <w:pPr>
        <w:pStyle w:val="Normal"/>
        <w:rPr/>
      </w:pPr>
      <w:r>
        <w:rPr/>
      </w:r>
    </w:p>
    <w:p>
      <w:pPr>
        <w:pStyle w:val="Normal"/>
        <w:rPr/>
      </w:pPr>
      <w:r>
        <w:rPr/>
        <w:t>La durée pendant laquelle peuvent s’exécuter les bons de commande ne peut excéder la durée de validité du marché majoré de six (6) mois.</w:t>
      </w:r>
    </w:p>
    <w:p>
      <w:pPr>
        <w:pStyle w:val="Normal"/>
        <w:rPr/>
      </w:pPr>
      <w:r>
        <w:rPr/>
      </w:r>
    </w:p>
    <w:p>
      <w:pPr>
        <w:pStyle w:val="Normal"/>
        <w:numPr>
          <w:ilvl w:val="0"/>
          <w:numId w:val="3"/>
        </w:numPr>
        <w:rPr/>
      </w:pPr>
      <w:r>
        <w:rPr>
          <w:b/>
          <w:bCs/>
          <w:u w:val="single"/>
        </w:rPr>
        <w:t>Délai pour les interventions d’astreinte</w:t>
      </w:r>
    </w:p>
    <w:p>
      <w:pPr>
        <w:pStyle w:val="Normal"/>
        <w:rPr/>
      </w:pPr>
      <w:r>
        <w:rPr/>
      </w:r>
    </w:p>
    <w:p>
      <w:pPr>
        <w:pStyle w:val="Normal"/>
        <w:rPr/>
      </w:pPr>
      <w:r>
        <w:rPr/>
        <w:t>En cas d’urgence, l’AGER pourra faire appel à l’astreinte de l’entreprise, 24 heures sur 24, y compris les week-ends et jours fériés.</w:t>
      </w:r>
    </w:p>
    <w:p>
      <w:pPr>
        <w:pStyle w:val="Normal"/>
        <w:rPr/>
      </w:pPr>
      <w:r>
        <w:rPr/>
      </w:r>
    </w:p>
    <w:p>
      <w:pPr>
        <w:pStyle w:val="Normal"/>
        <w:rPr/>
      </w:pPr>
      <w:r>
        <w:rPr/>
        <w:t>Les interventions urgentes, concernant les prestations décrites ci-après :</w:t>
      </w:r>
    </w:p>
    <w:p>
      <w:pPr>
        <w:pStyle w:val="Normal"/>
        <w:numPr>
          <w:ilvl w:val="0"/>
          <w:numId w:val="5"/>
        </w:numPr>
        <w:spacing w:before="113" w:after="113"/>
        <w:ind w:left="1417" w:hanging="340"/>
        <w:rPr/>
      </w:pPr>
      <w:r>
        <w:rPr/>
        <w:t>Interventions pour la mise en sécurité de la circulation,</w:t>
      </w:r>
    </w:p>
    <w:p>
      <w:pPr>
        <w:pStyle w:val="Normal"/>
        <w:rPr/>
      </w:pPr>
      <w:r>
        <w:rPr/>
        <w:t>seront effectuées, sur simple appel téléphonique, par l’un des Responsables d’Intervention (RI). L’heure d’appel sera consignée dans la main-courante de l’unité d’appartenance du RI. Dès la première journée ouvrable suivante, l’une des personnes habilitées à signer les commandes régularisera l’intervention par l’émission d’un bon de commande.</w:t>
      </w:r>
    </w:p>
    <w:p>
      <w:pPr>
        <w:pStyle w:val="Normal"/>
        <w:rPr/>
      </w:pPr>
      <w:r>
        <w:rPr/>
      </w:r>
    </w:p>
    <w:p>
      <w:pPr>
        <w:pStyle w:val="Normal"/>
        <w:rPr/>
      </w:pPr>
      <w:r>
        <w:rPr/>
        <w:t>Le délai commence à courir à partir de l’heure d’appel téléphonique</w:t>
      </w:r>
      <w:r>
        <w:rPr>
          <w:color w:val="000000"/>
        </w:rPr>
        <w:t>.</w:t>
      </w:r>
    </w:p>
    <w:p>
      <w:pPr>
        <w:pStyle w:val="Normal"/>
        <w:rPr/>
      </w:pPr>
      <w:r>
        <w:rPr/>
      </w:r>
    </w:p>
    <w:p>
      <w:pPr>
        <w:pStyle w:val="Normal"/>
        <w:rPr>
          <w:shd w:fill="FF00FF" w:val="clear"/>
        </w:rPr>
      </w:pPr>
      <w:r>
        <w:rPr>
          <w:color w:val="000000"/>
        </w:rPr>
        <w:t xml:space="preserve">Le délai d’intervention </w:t>
      </w:r>
      <w:r>
        <w:rPr>
          <w:rFonts w:cs="Liberation Sans"/>
          <w:color w:val="000000"/>
        </w:rPr>
        <w:t>entre l’appel téléphonique et le début des prestations doit être inférieur à 2h00 en tout point du réseau couvert par le lot. Ce délai est rappelé</w:t>
      </w:r>
      <w:r>
        <w:rPr>
          <w:color w:val="000000"/>
        </w:rPr>
        <w:t xml:space="preserve"> dans le bordereau des prix.</w:t>
      </w:r>
    </w:p>
    <w:p>
      <w:pPr>
        <w:pStyle w:val="Normal"/>
        <w:rPr/>
      </w:pPr>
      <w:r>
        <w:rPr/>
      </w:r>
    </w:p>
    <w:p>
      <w:pPr>
        <w:pStyle w:val="Normal"/>
        <w:rPr/>
      </w:pPr>
      <w:r>
        <w:rPr/>
        <w:t>Le titulaire pourra être joint au(x) numéro(s) suivant(s) :</w:t>
      </w:r>
    </w:p>
    <w:p>
      <w:pPr>
        <w:pStyle w:val="Normal"/>
        <w:rPr>
          <w:color w:val="00B050"/>
        </w:rPr>
      </w:pPr>
      <w:r>
        <w:rPr>
          <w:color w:val="00B050"/>
        </w:rPr>
      </w:r>
    </w:p>
    <w:p>
      <w:pPr>
        <w:pStyle w:val="Normal"/>
        <w:rPr>
          <w:color w:val="00B050"/>
        </w:rPr>
      </w:pPr>
      <w:r>
        <w:rPr>
          <w:color w:val="00B050"/>
        </w:rPr>
      </w:r>
    </w:p>
    <w:tbl>
      <w:tblPr>
        <w:tblW w:w="9615" w:type="dxa"/>
        <w:jc w:val="left"/>
        <w:tblInd w:w="76" w:type="dxa"/>
        <w:tblLayout w:type="fixed"/>
        <w:tblCellMar>
          <w:top w:w="0" w:type="dxa"/>
          <w:left w:w="70" w:type="dxa"/>
          <w:bottom w:w="0" w:type="dxa"/>
          <w:right w:w="70" w:type="dxa"/>
        </w:tblCellMar>
        <w:tblLook w:firstRow="1" w:noVBand="1" w:lastRow="0" w:firstColumn="1" w:lastColumn="0" w:noHBand="0" w:val="04a0"/>
      </w:tblPr>
      <w:tblGrid>
        <w:gridCol w:w="3240"/>
        <w:gridCol w:w="3003"/>
        <w:gridCol w:w="3372"/>
      </w:tblGrid>
      <w:tr>
        <w:trPr>
          <w:tblHeader w:val="true"/>
        </w:trPr>
        <w:tc>
          <w:tcPr>
            <w:tcW w:w="3240" w:type="dxa"/>
            <w:tcBorders>
              <w:top w:val="single" w:sz="6" w:space="0" w:color="000000"/>
              <w:left w:val="single" w:sz="6" w:space="0" w:color="000000"/>
              <w:bottom w:val="single" w:sz="6" w:space="0" w:color="000000"/>
            </w:tcBorders>
            <w:shd w:color="auto" w:fill="BFBFBF" w:val="clear"/>
          </w:tcPr>
          <w:p>
            <w:pPr>
              <w:pStyle w:val="Normal"/>
              <w:keepNext w:val="true"/>
              <w:widowControl w:val="false"/>
              <w:jc w:val="center"/>
              <w:rPr>
                <w:b/>
                <w:b/>
              </w:rPr>
            </w:pPr>
            <w:r>
              <w:rPr>
                <w:b/>
              </w:rPr>
              <w:t>Nom de l’entrepreneur</w:t>
            </w:r>
          </w:p>
        </w:tc>
        <w:tc>
          <w:tcPr>
            <w:tcW w:w="3003" w:type="dxa"/>
            <w:tcBorders>
              <w:top w:val="single" w:sz="6" w:space="0" w:color="000000"/>
              <w:left w:val="single" w:sz="6" w:space="0" w:color="000000"/>
              <w:bottom w:val="single" w:sz="6" w:space="0" w:color="000000"/>
            </w:tcBorders>
            <w:shd w:color="auto" w:fill="BFBFBF" w:val="clear"/>
          </w:tcPr>
          <w:p>
            <w:pPr>
              <w:pStyle w:val="Normal"/>
              <w:widowControl w:val="false"/>
              <w:jc w:val="center"/>
              <w:rPr>
                <w:b/>
                <w:b/>
              </w:rPr>
            </w:pPr>
            <w:r>
              <w:rPr>
                <w:b/>
              </w:rPr>
              <w:t>Personne à contacter</w:t>
            </w:r>
          </w:p>
        </w:tc>
        <w:tc>
          <w:tcPr>
            <w:tcW w:w="3372" w:type="dxa"/>
            <w:tcBorders>
              <w:top w:val="single" w:sz="6" w:space="0" w:color="000000"/>
              <w:left w:val="single" w:sz="6" w:space="0" w:color="000000"/>
              <w:bottom w:val="single" w:sz="6" w:space="0" w:color="000000"/>
              <w:right w:val="single" w:sz="6" w:space="0" w:color="000000"/>
            </w:tcBorders>
            <w:shd w:color="auto" w:fill="BFBFBF" w:val="clear"/>
          </w:tcPr>
          <w:p>
            <w:pPr>
              <w:pStyle w:val="Normal"/>
              <w:widowControl w:val="false"/>
              <w:jc w:val="center"/>
              <w:rPr>
                <w:b/>
                <w:b/>
              </w:rPr>
            </w:pPr>
            <w:r>
              <w:rPr>
                <w:b/>
              </w:rPr>
              <w:t>Téléphone / Fax</w:t>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b/>
                <w:b/>
              </w:rPr>
            </w:pPr>
            <w:r>
              <w:rPr>
                <w:b/>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bl>
    <w:p>
      <w:pPr>
        <w:pStyle w:val="Normal"/>
        <w:rPr/>
      </w:pPr>
      <w:r>
        <w:rPr/>
      </w:r>
    </w:p>
    <w:p>
      <w:pPr>
        <w:pStyle w:val="Normal"/>
        <w:rPr/>
      </w:pPr>
      <w:r>
        <w:rPr/>
      </w:r>
    </w:p>
    <w:p>
      <w:pPr>
        <w:pStyle w:val="Titre1"/>
        <w:spacing w:before="0" w:after="238"/>
        <w:rPr/>
      </w:pPr>
      <w:r>
        <w:rPr/>
        <w:t>ARTICLE 4. PAIEMENTS</w:t>
      </w:r>
    </w:p>
    <w:p>
      <w:pPr>
        <w:pStyle w:val="Normal"/>
        <w:rPr/>
      </w:pPr>
      <w:r>
        <w:rPr/>
        <w:t>Les modalités du règlement des comptes du marché public sont spécifiées à l'article 3-2.3 du CCAP.</w:t>
      </w:r>
    </w:p>
    <w:p>
      <w:pPr>
        <w:pStyle w:val="Normal"/>
        <w:rPr/>
      </w:pPr>
      <w:r>
        <w:rPr/>
      </w:r>
    </w:p>
    <w:p>
      <w:pPr>
        <w:pStyle w:val="Normal"/>
        <w:widowControl/>
        <w:ind w:left="-300" w:hanging="0"/>
        <w:rPr/>
      </w:pPr>
      <w:r>
        <w:rPr>
          <w:rFonts w:ascii="Wingdings;Symbol" w:hAnsi="Wingdings;Symbol"/>
          <w:sz w:val="36"/>
        </w:rPr>
        <w:tab/>
      </w:r>
      <w:sdt>
        <w:sdtPr>
          <w14:checkbox>
            <w14:checked w:val=""/>
            <w14:checkedState w:val=""/>
            <w14:uncheckedState w:val=""/>
          </w14:checkbox>
          <w:id w:val="1339777073"/>
        </w:sdtPr>
        <w:sdtContent>
          <w:r>
            <w:rPr>
              <w:rFonts w:eastAsia="MS Gothic" w:ascii="MS Gothic" w:hAnsi="MS Gothic"/>
              <w:sz w:val="36"/>
            </w:rPr>
            <w:t>☐</w:t>
          </w:r>
        </w:sdtContent>
      </w:sdt>
      <w:r>
        <w:rPr/>
        <w:t xml:space="preserve">  Le(s) prestataire(s) refuse(nt) le paiement par carte d'achat</w:t>
      </w:r>
    </w:p>
    <w:p>
      <w:pPr>
        <w:pStyle w:val="Paragraphe"/>
        <w:keepNext w:val="true"/>
        <w:ind w:left="-284" w:hanging="0"/>
        <w:rPr/>
      </w:pPr>
      <w:sdt>
        <w:sdtPr>
          <w14:checkbox>
            <w14:checked w:val=""/>
            <w14:checkedState w:val=""/>
            <w14:uncheckedState w:val=""/>
          </w14:checkbox>
          <w:id w:val="2117252484"/>
        </w:sdtPr>
        <w:sdtContent>
          <w:r>
            <w:rPr>
              <w:rFonts w:eastAsia="MS Gothic" w:ascii="MS Gothic" w:hAnsi="MS Gothic"/>
              <w:sz w:val="36"/>
            </w:rPr>
            <w:t>☐</w:t>
          </w:r>
        </w:sdtContent>
      </w:sdt>
      <w:r>
        <w:rPr>
          <w:sz w:val="36"/>
        </w:rPr>
        <w:t xml:space="preserve">  </w:t>
      </w:r>
      <w:r>
        <w:rPr>
          <w:b/>
          <w:u w:val="single"/>
        </w:rPr>
        <w:t>Prestataire unique</w:t>
      </w:r>
    </w:p>
    <w:p>
      <w:pPr>
        <w:pStyle w:val="Paradouble"/>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58" w:type="dxa"/>
        <w:jc w:val="left"/>
        <w:tblInd w:w="-283" w:type="dxa"/>
        <w:tblLayout w:type="fixed"/>
        <w:tblCellMar>
          <w:top w:w="0" w:type="dxa"/>
          <w:left w:w="5" w:type="dxa"/>
          <w:bottom w:w="0" w:type="dxa"/>
          <w:right w:w="0" w:type="dxa"/>
        </w:tblCellMar>
        <w:tblLook w:firstRow="0" w:noVBand="0" w:lastRow="0" w:firstColumn="0" w:lastColumn="0" w:noHBand="0" w:val="0000"/>
      </w:tblPr>
      <w:tblGrid>
        <w:gridCol w:w="83"/>
        <w:gridCol w:w="1780"/>
        <w:gridCol w:w="217"/>
        <w:gridCol w:w="184"/>
        <w:gridCol w:w="68"/>
        <w:gridCol w:w="209"/>
        <w:gridCol w:w="157"/>
        <w:gridCol w:w="71"/>
        <w:gridCol w:w="224"/>
        <w:gridCol w:w="152"/>
        <w:gridCol w:w="74"/>
        <w:gridCol w:w="34"/>
        <w:gridCol w:w="216"/>
        <w:gridCol w:w="182"/>
        <w:gridCol w:w="56"/>
        <w:gridCol w:w="70"/>
        <w:gridCol w:w="171"/>
        <w:gridCol w:w="163"/>
        <w:gridCol w:w="84"/>
        <w:gridCol w:w="97"/>
        <w:gridCol w:w="157"/>
        <w:gridCol w:w="110"/>
        <w:gridCol w:w="44"/>
        <w:gridCol w:w="111"/>
        <w:gridCol w:w="216"/>
        <w:gridCol w:w="77"/>
        <w:gridCol w:w="171"/>
        <w:gridCol w:w="218"/>
        <w:gridCol w:w="47"/>
        <w:gridCol w:w="203"/>
        <w:gridCol w:w="219"/>
        <w:gridCol w:w="212"/>
        <w:gridCol w:w="64"/>
        <w:gridCol w:w="138"/>
        <w:gridCol w:w="68"/>
        <w:gridCol w:w="210"/>
        <w:gridCol w:w="164"/>
        <w:gridCol w:w="86"/>
        <w:gridCol w:w="223"/>
        <w:gridCol w:w="219"/>
        <w:gridCol w:w="121"/>
        <w:gridCol w:w="121"/>
        <w:gridCol w:w="220"/>
        <w:gridCol w:w="158"/>
        <w:gridCol w:w="94"/>
        <w:gridCol w:w="215"/>
        <w:gridCol w:w="128"/>
        <w:gridCol w:w="105"/>
        <w:gridCol w:w="216"/>
        <w:gridCol w:w="111"/>
        <w:gridCol w:w="141"/>
        <w:gridCol w:w="217"/>
        <w:gridCol w:w="214"/>
        <w:gridCol w:w="237"/>
        <w:gridCol w:w="108"/>
      </w:tblGrid>
      <w:tr>
        <w:trPr>
          <w:trHeight w:val="60" w:hRule="exact"/>
        </w:trPr>
        <w:tc>
          <w:tcPr>
            <w:tcW w:w="83" w:type="dxa"/>
            <w:tcBorders>
              <w:top w:val="single" w:sz="4" w:space="0" w:color="000000"/>
              <w:left w:val="single" w:sz="4" w:space="0" w:color="000000"/>
            </w:tcBorders>
          </w:tcPr>
          <w:p>
            <w:pPr>
              <w:pStyle w:val="Normal"/>
              <w:keepNext w:val="true"/>
              <w:keepLines/>
              <w:widowControl w:val="false"/>
              <w:snapToGrid w:val="false"/>
              <w:rPr/>
            </w:pPr>
            <w:r>
              <w:rPr/>
            </w:r>
          </w:p>
        </w:tc>
        <w:tc>
          <w:tcPr>
            <w:tcW w:w="4520" w:type="dxa"/>
            <w:gridSpan w:val="22"/>
            <w:tcBorders>
              <w:top w:val="single" w:sz="4" w:space="0" w:color="000000"/>
            </w:tcBorders>
          </w:tcPr>
          <w:p>
            <w:pPr>
              <w:pStyle w:val="Normal"/>
              <w:keepNext w:val="true"/>
              <w:keepLines/>
              <w:widowControl w:val="false"/>
              <w:snapToGrid w:val="false"/>
              <w:rPr/>
            </w:pPr>
            <w:r>
              <w:rPr/>
            </w:r>
          </w:p>
        </w:tc>
        <w:tc>
          <w:tcPr>
            <w:tcW w:w="4944" w:type="dxa"/>
            <w:gridSpan w:val="31"/>
            <w:tcBorders>
              <w:top w:val="single" w:sz="4" w:space="0" w:color="000000"/>
            </w:tcBorders>
          </w:tcPr>
          <w:p>
            <w:pPr>
              <w:pStyle w:val="Normal"/>
              <w:keepNext w:val="true"/>
              <w:keepLines/>
              <w:widowControl w:val="false"/>
              <w:snapToGrid w:val="false"/>
              <w:rPr/>
            </w:pPr>
            <w:r>
              <w:rPr/>
            </w:r>
          </w:p>
        </w:tc>
        <w:tc>
          <w:tcPr>
            <w:tcW w:w="108"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compte ouvert à l'organisme bancaire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à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au nom de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08"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sous le numéro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4" w:type="dxa"/>
            <w:tcBorders>
              <w:left w:val="single" w:sz="4" w:space="0" w:color="000000"/>
            </w:tcBorders>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8" w:type="dxa"/>
            <w:gridSpan w:val="7"/>
            <w:tcBorders>
              <w:left w:val="single" w:sz="4" w:space="0" w:color="000000"/>
            </w:tcBorders>
          </w:tcPr>
          <w:p>
            <w:pPr>
              <w:pStyle w:val="Normal"/>
              <w:keepNext w:val="true"/>
              <w:keepLines/>
              <w:widowControl w:val="false"/>
              <w:snapToGrid w:val="false"/>
              <w:jc w:val="center"/>
              <w:rPr/>
            </w:pPr>
            <w:r>
              <w:rPr/>
              <w:t>clé RIB :</w:t>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7"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code banque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32"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7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2"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1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7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5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4" w:type="dxa"/>
            <w:gridSpan w:val="9"/>
            <w:tcBorders>
              <w:left w:val="single" w:sz="4" w:space="0" w:color="000000"/>
            </w:tcBorders>
          </w:tcPr>
          <w:p>
            <w:pPr>
              <w:pStyle w:val="Normal"/>
              <w:keepNext w:val="true"/>
              <w:keepLines/>
              <w:widowControl w:val="false"/>
              <w:snapToGrid w:val="false"/>
              <w:rPr/>
            </w:pPr>
            <w:r>
              <w:rPr/>
            </w:r>
          </w:p>
        </w:tc>
        <w:tc>
          <w:tcPr>
            <w:tcW w:w="108"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7"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0"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098"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08"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c>
          <w:tcPr>
            <w:tcW w:w="83" w:type="dxa"/>
            <w:tcBorders>
              <w:left w:val="single" w:sz="4" w:space="0" w:color="000000"/>
              <w:bottom w:val="single" w:sz="20" w:space="0" w:color="000000"/>
            </w:tcBorders>
          </w:tcPr>
          <w:p>
            <w:pPr>
              <w:pStyle w:val="Normal"/>
              <w:keepNext w:val="true"/>
              <w:keepLines/>
              <w:widowControl w:val="false"/>
              <w:snapToGrid w:val="false"/>
              <w:rPr>
                <w:sz w:val="6"/>
              </w:rPr>
            </w:pPr>
            <w:r>
              <w:rPr>
                <w:sz w:val="6"/>
              </w:rPr>
            </w:r>
          </w:p>
        </w:tc>
        <w:tc>
          <w:tcPr>
            <w:tcW w:w="9464" w:type="dxa"/>
            <w:gridSpan w:val="53"/>
            <w:tcBorders>
              <w:bottom w:val="single" w:sz="20" w:space="0" w:color="000000"/>
            </w:tcBorders>
          </w:tcPr>
          <w:p>
            <w:pPr>
              <w:pStyle w:val="Normal"/>
              <w:keepNext w:val="true"/>
              <w:keepLines/>
              <w:widowControl w:val="false"/>
              <w:snapToGrid w:val="false"/>
              <w:rPr>
                <w:sz w:val="6"/>
              </w:rPr>
            </w:pPr>
            <w:r>
              <w:rPr>
                <w:sz w:val="6"/>
              </w:rPr>
            </w:r>
          </w:p>
        </w:tc>
        <w:tc>
          <w:tcPr>
            <w:tcW w:w="108" w:type="dxa"/>
            <w:tcBorders>
              <w:bottom w:val="single" w:sz="20" w:space="0" w:color="000000"/>
              <w:right w:val="single" w:sz="8" w:space="0" w:color="000000"/>
            </w:tcBorders>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2050353068"/>
        </w:sdtPr>
        <w:sdtContent>
          <w:r>
            <w:rPr>
              <w:rFonts w:eastAsia="MS Gothic" w:ascii="MS Gothic" w:hAnsi="MS Gothic"/>
              <w:sz w:val="36"/>
            </w:rPr>
            <w:t>☐</w:t>
          </w:r>
        </w:sdtContent>
      </w:sdt>
      <w:r>
        <w:rPr/>
        <w:t xml:space="preserve">  </w:t>
      </w:r>
      <w:r>
        <w:rPr>
          <w:b/>
          <w:u w:val="single"/>
        </w:rPr>
        <w:t>Groupement solidaire à compte unique</w:t>
      </w:r>
    </w:p>
    <w:p>
      <w:pPr>
        <w:pStyle w:val="Paradouble"/>
        <w:keepNext w:val="true"/>
        <w:keepLines/>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89" w:type="dxa"/>
        <w:jc w:val="left"/>
        <w:tblInd w:w="-314" w:type="dxa"/>
        <w:tblLayout w:type="fixed"/>
        <w:tblCellMar>
          <w:top w:w="0" w:type="dxa"/>
          <w:left w:w="5" w:type="dxa"/>
          <w:bottom w:w="0" w:type="dxa"/>
          <w:right w:w="0" w:type="dxa"/>
        </w:tblCellMar>
        <w:tblLook w:firstRow="0" w:noVBand="0" w:lastRow="0" w:firstColumn="0" w:lastColumn="0" w:noHBand="0" w:val="0000"/>
      </w:tblPr>
      <w:tblGrid>
        <w:gridCol w:w="124"/>
        <w:gridCol w:w="1777"/>
        <w:gridCol w:w="217"/>
        <w:gridCol w:w="187"/>
        <w:gridCol w:w="62"/>
        <w:gridCol w:w="218"/>
        <w:gridCol w:w="156"/>
        <w:gridCol w:w="62"/>
        <w:gridCol w:w="218"/>
        <w:gridCol w:w="153"/>
        <w:gridCol w:w="93"/>
        <w:gridCol w:w="29"/>
        <w:gridCol w:w="215"/>
        <w:gridCol w:w="184"/>
        <w:gridCol w:w="61"/>
        <w:gridCol w:w="38"/>
        <w:gridCol w:w="184"/>
        <w:gridCol w:w="155"/>
        <w:gridCol w:w="93"/>
        <w:gridCol w:w="94"/>
        <w:gridCol w:w="156"/>
        <w:gridCol w:w="114"/>
        <w:gridCol w:w="41"/>
        <w:gridCol w:w="113"/>
        <w:gridCol w:w="217"/>
        <w:gridCol w:w="80"/>
        <w:gridCol w:w="169"/>
        <w:gridCol w:w="217"/>
        <w:gridCol w:w="51"/>
        <w:gridCol w:w="197"/>
        <w:gridCol w:w="218"/>
        <w:gridCol w:w="217"/>
        <w:gridCol w:w="62"/>
        <w:gridCol w:w="147"/>
        <w:gridCol w:w="63"/>
        <w:gridCol w:w="218"/>
        <w:gridCol w:w="155"/>
        <w:gridCol w:w="92"/>
        <w:gridCol w:w="218"/>
        <w:gridCol w:w="217"/>
        <w:gridCol w:w="124"/>
        <w:gridCol w:w="123"/>
        <w:gridCol w:w="217"/>
        <w:gridCol w:w="155"/>
        <w:gridCol w:w="93"/>
        <w:gridCol w:w="216"/>
        <w:gridCol w:w="124"/>
        <w:gridCol w:w="112"/>
        <w:gridCol w:w="219"/>
        <w:gridCol w:w="104"/>
        <w:gridCol w:w="143"/>
        <w:gridCol w:w="218"/>
        <w:gridCol w:w="218"/>
        <w:gridCol w:w="228"/>
        <w:gridCol w:w="110"/>
      </w:tblGrid>
      <w:tr>
        <w:trPr>
          <w:trHeight w:val="60" w:hRule="exact"/>
        </w:trPr>
        <w:tc>
          <w:tcPr>
            <w:tcW w:w="124" w:type="dxa"/>
            <w:tcBorders>
              <w:top w:val="single" w:sz="4" w:space="0" w:color="000000"/>
              <w:left w:val="single" w:sz="4" w:space="0" w:color="000000"/>
            </w:tcBorders>
          </w:tcPr>
          <w:p>
            <w:pPr>
              <w:pStyle w:val="Normal"/>
              <w:keepNext w:val="true"/>
              <w:keepLines/>
              <w:widowControl w:val="false"/>
              <w:snapToGrid w:val="false"/>
              <w:rPr/>
            </w:pPr>
            <w:r>
              <w:rPr/>
            </w:r>
          </w:p>
        </w:tc>
        <w:tc>
          <w:tcPr>
            <w:tcW w:w="4507" w:type="dxa"/>
            <w:gridSpan w:val="22"/>
            <w:tcBorders>
              <w:top w:val="single" w:sz="4" w:space="0" w:color="000000"/>
            </w:tcBorders>
          </w:tcPr>
          <w:p>
            <w:pPr>
              <w:pStyle w:val="Normal"/>
              <w:keepNext w:val="true"/>
              <w:keepLines/>
              <w:widowControl w:val="false"/>
              <w:snapToGrid w:val="false"/>
              <w:rPr/>
            </w:pPr>
            <w:r>
              <w:rPr/>
            </w:r>
          </w:p>
        </w:tc>
        <w:tc>
          <w:tcPr>
            <w:tcW w:w="4945" w:type="dxa"/>
            <w:gridSpan w:val="31"/>
            <w:tcBorders>
              <w:top w:val="single" w:sz="4" w:space="0" w:color="000000"/>
            </w:tcBorders>
          </w:tcPr>
          <w:p>
            <w:pPr>
              <w:pStyle w:val="Normal"/>
              <w:keepNext w:val="true"/>
              <w:keepLines/>
              <w:widowControl w:val="false"/>
              <w:snapToGrid w:val="false"/>
              <w:rPr/>
            </w:pPr>
            <w:r>
              <w:rPr/>
            </w:r>
          </w:p>
        </w:tc>
        <w:tc>
          <w:tcPr>
            <w:tcW w:w="110"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compte ouvert à l'organisme bancaire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à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6" w:type="dxa"/>
            <w:gridSpan w:val="19"/>
            <w:tcBorders/>
          </w:tcPr>
          <w:p>
            <w:pPr>
              <w:pStyle w:val="Normal"/>
              <w:keepNext w:val="true"/>
              <w:keepLines/>
              <w:widowControl w:val="false"/>
              <w:snapToGrid w:val="false"/>
              <w:rPr/>
            </w:pPr>
            <w:r>
              <w:rPr/>
              <w:t>au nom de :</w:t>
            </w:r>
          </w:p>
        </w:tc>
        <w:tc>
          <w:tcPr>
            <w:tcW w:w="5256"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sous le numéro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3" w:type="dxa"/>
            <w:tcBorders>
              <w:left w:val="single" w:sz="4" w:space="0" w:color="000000"/>
            </w:tcBorders>
          </w:tcPr>
          <w:p>
            <w:pPr>
              <w:pStyle w:val="Normal"/>
              <w:keepNext w:val="true"/>
              <w:keepLines/>
              <w:widowControl w:val="false"/>
              <w:snapToGrid w:val="false"/>
              <w:rPr/>
            </w:pPr>
            <w:r>
              <w:rPr/>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6" w:type="dxa"/>
            <w:gridSpan w:val="7"/>
            <w:tcBorders>
              <w:left w:val="single" w:sz="4" w:space="0" w:color="000000"/>
            </w:tcBorders>
          </w:tcPr>
          <w:p>
            <w:pPr>
              <w:pStyle w:val="Normal"/>
              <w:keepNext w:val="true"/>
              <w:keepLines/>
              <w:widowControl w:val="false"/>
              <w:snapToGrid w:val="false"/>
              <w:jc w:val="center"/>
              <w:rPr/>
            </w:pPr>
            <w:r>
              <w:rPr/>
              <w:t>clé RIB :</w:t>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7"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7" w:type="dxa"/>
            <w:gridSpan w:val="22"/>
            <w:tcBorders/>
          </w:tcPr>
          <w:p>
            <w:pPr>
              <w:pStyle w:val="Normal"/>
              <w:keepNext w:val="true"/>
              <w:keepLines/>
              <w:widowControl w:val="false"/>
              <w:snapToGrid w:val="false"/>
              <w:rPr/>
            </w:pPr>
            <w:r>
              <w:rPr/>
            </w:r>
          </w:p>
        </w:tc>
        <w:tc>
          <w:tcPr>
            <w:tcW w:w="4945"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code banque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20"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8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6"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48"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2" w:type="dxa"/>
            <w:gridSpan w:val="9"/>
            <w:tcBorders>
              <w:left w:val="single" w:sz="4" w:space="0" w:color="000000"/>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8"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6"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jc w:val="left"/>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rHeight w:val="25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4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63"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1439" w:hRule="exact"/>
        </w:trPr>
        <w:tc>
          <w:tcPr>
            <w:tcW w:w="124" w:type="dxa"/>
            <w:tcBorders>
              <w:left w:val="single" w:sz="2" w:space="0" w:color="000000"/>
              <w:bottom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2" w:type="dxa"/>
            <w:gridSpan w:val="53"/>
            <w:tcBorders>
              <w:bottom w:val="single" w:sz="8" w:space="0" w:color="000000"/>
            </w:tcBorders>
            <w:tcMar>
              <w:top w:w="55" w:type="dxa"/>
              <w:left w:w="55" w:type="dxa"/>
              <w:bottom w:w="55" w:type="dxa"/>
              <w:right w:w="55" w:type="dxa"/>
            </w:tcMar>
          </w:tcPr>
          <w:p>
            <w:pPr>
              <w:pStyle w:val="Normal"/>
              <w:keepNext w:val="true"/>
              <w:keepLines/>
              <w:widowControl w:val="false"/>
              <w:snapToGrid w:val="false"/>
              <w:rPr/>
            </w:pPr>
            <w:sdt>
              <w:sdtPr>
                <w14:checkbox>
                  <w14:checked w:val=""/>
                  <w14:checkedState w:val=""/>
                  <w14:uncheckedState w:val=""/>
                </w14:checkbox>
                <w:id w:val="1673078745"/>
              </w:sdtPr>
              <w:sdtContent>
                <w:r>
                  <w:rPr>
                    <w:rFonts w:eastAsia="MS Gothic" w:ascii="MS Gothic" w:hAnsi="MS Gothic"/>
                    <w:sz w:val="36"/>
                  </w:rPr>
                  <w:t>☐</w:t>
                </w:r>
              </w:sdtContent>
            </w:sdt>
            <w:r>
              <w:rPr/>
              <w:t xml:space="preserve"> </w:t>
            </w:r>
            <w:r>
              <w:rPr/>
              <w:t>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10" w:type="dxa"/>
            <w:tcBorders>
              <w:bottom w:val="single" w:sz="8" w:space="0" w:color="000000"/>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812943099"/>
        </w:sdtPr>
        <w:sdtContent>
          <w:r>
            <w:rPr>
              <w:rFonts w:eastAsia="MS Gothic" w:ascii="MS Gothic" w:hAnsi="MS Gothic"/>
              <w:sz w:val="36"/>
            </w:rPr>
            <w:t>☐</w:t>
          </w:r>
        </w:sdtContent>
      </w:sdt>
      <w:r>
        <w:rPr/>
        <w:t xml:space="preserve">  </w:t>
      </w:r>
      <w:r>
        <w:rPr>
          <w:b/>
          <w:u w:val="single"/>
        </w:rPr>
        <w:t>Groupement solidaire à comptes séparés</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048089066"/>
        </w:sdtPr>
        <w:sdtContent>
          <w:r>
            <w:rPr>
              <w:rFonts w:eastAsia="MS Gothic" w:ascii="MS Gothic" w:hAnsi="MS Gothic"/>
              <w:sz w:val="36"/>
            </w:rPr>
            <w:t>☐</w:t>
          </w:r>
        </w:sdtContent>
      </w:sdt>
      <w:r>
        <w:rPr/>
        <w:t xml:space="preserve">  </w:t>
      </w:r>
      <w:r>
        <w:rPr>
          <w:b/>
          <w:u w:val="single"/>
        </w:rPr>
        <w:t>Groupement conjoint</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8"/>
        <w:gridCol w:w="106"/>
        <w:gridCol w:w="53"/>
        <w:gridCol w:w="106"/>
        <w:gridCol w:w="219"/>
        <w:gridCol w:w="77"/>
        <w:gridCol w:w="156"/>
        <w:gridCol w:w="217"/>
        <w:gridCol w:w="63"/>
        <w:gridCol w:w="170"/>
        <w:gridCol w:w="185"/>
        <w:gridCol w:w="62"/>
        <w:gridCol w:w="220"/>
        <w:gridCol w:w="138"/>
        <w:gridCol w:w="81"/>
        <w:gridCol w:w="27"/>
        <w:gridCol w:w="221"/>
        <w:gridCol w:w="122"/>
        <w:gridCol w:w="76"/>
        <w:gridCol w:w="63"/>
        <w:gridCol w:w="216"/>
        <w:gridCol w:w="99"/>
        <w:gridCol w:w="135"/>
        <w:gridCol w:w="224"/>
        <w:gridCol w:w="74"/>
        <w:gridCol w:w="171"/>
        <w:gridCol w:w="174"/>
        <w:gridCol w:w="61"/>
        <w:gridCol w:w="47"/>
        <w:gridCol w:w="202"/>
        <w:gridCol w:w="138"/>
        <w:gridCol w:w="96"/>
        <w:gridCol w:w="217"/>
        <w:gridCol w:w="107"/>
        <w:gridCol w:w="125"/>
        <w:gridCol w:w="218"/>
        <w:gridCol w:w="217"/>
        <w:gridCol w:w="217"/>
        <w:gridCol w:w="117"/>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2"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7"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1" w:type="dxa"/>
            <w:gridSpan w:val="23"/>
            <w:tcBorders>
              <w:top w:val="single" w:sz="4" w:space="0" w:color="000000"/>
            </w:tcBorders>
          </w:tcPr>
          <w:p>
            <w:pPr>
              <w:pStyle w:val="Normal"/>
              <w:keepNext w:val="true"/>
              <w:keepLines/>
              <w:widowControl w:val="false"/>
              <w:snapToGrid w:val="false"/>
              <w:rPr/>
            </w:pPr>
            <w:r>
              <w:rPr/>
            </w:r>
          </w:p>
        </w:tc>
        <w:tc>
          <w:tcPr>
            <w:tcW w:w="4941" w:type="dxa"/>
            <w:gridSpan w:val="35"/>
            <w:tcBorders>
              <w:top w:val="single" w:sz="4" w:space="0" w:color="000000"/>
            </w:tcBorders>
          </w:tcPr>
          <w:p>
            <w:pPr>
              <w:pStyle w:val="Normal"/>
              <w:keepNext w:val="true"/>
              <w:keepLines/>
              <w:widowControl w:val="false"/>
              <w:snapToGrid w:val="false"/>
              <w:rPr/>
            </w:pPr>
            <w:r>
              <w:rPr/>
            </w:r>
          </w:p>
        </w:tc>
        <w:tc>
          <w:tcPr>
            <w:tcW w:w="117"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8"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7"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6"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4"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1" w:type="dxa"/>
            <w:gridSpan w:val="23"/>
            <w:tcBorders/>
          </w:tcPr>
          <w:p>
            <w:pPr>
              <w:pStyle w:val="Normal"/>
              <w:keepNext w:val="true"/>
              <w:keepLines/>
              <w:widowControl w:val="false"/>
              <w:snapToGrid w:val="false"/>
              <w:rPr/>
            </w:pPr>
            <w:r>
              <w:rPr/>
            </w:r>
          </w:p>
        </w:tc>
        <w:tc>
          <w:tcPr>
            <w:tcW w:w="4941" w:type="dxa"/>
            <w:gridSpan w:val="35"/>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2"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7"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2" w:type="dxa"/>
            <w:gridSpan w:val="58"/>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1"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100" w:type="dxa"/>
            <w:gridSpan w:val="37"/>
            <w:tcBorders/>
          </w:tcPr>
          <w:p>
            <w:pPr>
              <w:pStyle w:val="Normal"/>
              <w:keepNext w:val="true"/>
              <w:keepLines/>
              <w:widowControl w:val="false"/>
              <w:snapToGrid w:val="false"/>
              <w:rPr/>
            </w:pPr>
            <w:r>
              <w:rPr/>
            </w:r>
          </w:p>
        </w:tc>
        <w:tc>
          <w:tcPr>
            <w:tcW w:w="117"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1" w:type="dxa"/>
            <w:gridSpan w:val="23"/>
            <w:tcBorders>
              <w:bottom w:val="single" w:sz="8" w:space="0" w:color="000000"/>
            </w:tcBorders>
          </w:tcPr>
          <w:p>
            <w:pPr>
              <w:pStyle w:val="Normal"/>
              <w:keepNext w:val="true"/>
              <w:keepLines/>
              <w:widowControl w:val="false"/>
              <w:snapToGrid w:val="false"/>
              <w:rPr/>
            </w:pPr>
            <w:r>
              <w:rPr/>
            </w:r>
          </w:p>
        </w:tc>
        <w:tc>
          <w:tcPr>
            <w:tcW w:w="4941" w:type="dxa"/>
            <w:gridSpan w:val="35"/>
            <w:tcBorders>
              <w:bottom w:val="single" w:sz="8" w:space="0" w:color="000000"/>
            </w:tcBorders>
          </w:tcPr>
          <w:p>
            <w:pPr>
              <w:pStyle w:val="Normal"/>
              <w:keepNext w:val="true"/>
              <w:keepLines/>
              <w:widowControl w:val="false"/>
              <w:snapToGrid w:val="false"/>
              <w:rPr/>
            </w:pPr>
            <w:r>
              <w:rPr/>
            </w:r>
          </w:p>
        </w:tc>
        <w:tc>
          <w:tcPr>
            <w:tcW w:w="117"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spacing w:before="240" w:after="0"/>
        <w:ind w:left="-284" w:hanging="0"/>
        <w:rPr/>
      </w:pPr>
      <w:sdt>
        <w:sdtPr>
          <w14:checkbox>
            <w14:checked w:val=""/>
            <w14:checkedState w:val=""/>
            <w14:uncheckedState w:val=""/>
          </w14:checkbox>
          <w:id w:val="1715577712"/>
        </w:sdtPr>
        <w:sdtContent>
          <w:r>
            <w:rPr>
              <w:rFonts w:eastAsia="MS Gothic" w:ascii="MS Gothic" w:hAnsi="MS Gothic"/>
              <w:sz w:val="36"/>
            </w:rPr>
            <w:t>☐</w:t>
          </w:r>
        </w:sdtContent>
      </w:sdt>
      <w:r>
        <w:rPr>
          <w:sz w:val="36"/>
        </w:rPr>
        <w:t xml:space="preserve">  </w:t>
      </w:r>
      <w:r>
        <w:rPr>
          <w:b/>
          <w:u w:val="single"/>
        </w:rPr>
        <w:t>Prestataire unique</w:t>
      </w:r>
    </w:p>
    <w:p>
      <w:pPr>
        <w:pStyle w:val="Normal"/>
        <w:keepNext w:val="true"/>
        <w:spacing w:before="120" w:after="0"/>
        <w:rPr/>
      </w:pPr>
      <w:r>
        <w:rPr/>
        <w:t>Le prestataire désigné ci-devant :</w:t>
      </w:r>
    </w:p>
    <w:p>
      <w:pPr>
        <w:pStyle w:val="Paragraphe"/>
        <w:keepNext w:val="true"/>
        <w:rPr/>
      </w:pPr>
      <w:sdt>
        <w:sdtPr>
          <w14:checkbox>
            <w14:checked w:val=""/>
            <w14:checkedState w:val=""/>
            <w14:uncheckedState w:val=""/>
          </w14:checkbox>
          <w:id w:val="572290927"/>
        </w:sdtPr>
        <w:sdtContent>
          <w:r>
            <w:rPr>
              <w:rFonts w:eastAsia="MS Gothic" w:ascii="MS Gothic" w:hAnsi="MS Gothic"/>
              <w:sz w:val="36"/>
            </w:rPr>
            <w:t>☐</w:t>
          </w:r>
        </w:sdtContent>
      </w:sdt>
      <w:r>
        <w:rPr/>
        <w:t xml:space="preserve"> </w:t>
      </w:r>
      <w:r>
        <w:rPr>
          <w:b/>
          <w:u w:val="single"/>
        </w:rPr>
        <w:t>refuse</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560072088"/>
        </w:sdtPr>
        <w:sdtContent>
          <w:r>
            <w:rPr>
              <w:rFonts w:eastAsia="MS Gothic" w:ascii="MS Gothic" w:hAnsi="MS Gothic"/>
              <w:sz w:val="36"/>
            </w:rPr>
            <w:t>☐</w:t>
          </w:r>
        </w:sdtContent>
      </w:sdt>
      <w:r>
        <w:rPr/>
        <w:t xml:space="preserve"> </w:t>
      </w:r>
      <w:r>
        <w:rPr>
          <w:b/>
          <w:u w:val="single"/>
        </w:rPr>
        <w:t>ne refuse pas</w:t>
      </w:r>
      <w:r>
        <w:rPr/>
        <w:t xml:space="preserve"> de percevoir l'avance prévue à l'article</w:t>
      </w:r>
      <w:r>
        <w:rPr>
          <w:color w:val="000000"/>
        </w:rPr>
        <w:t xml:space="preserve"> 5-2 du CCAP.</w:t>
      </w:r>
    </w:p>
    <w:p>
      <w:pPr>
        <w:pStyle w:val="Paragraphe"/>
        <w:keepNext w:val="true"/>
        <w:spacing w:before="240" w:after="0"/>
        <w:ind w:left="-284" w:hanging="0"/>
        <w:rPr/>
      </w:pPr>
      <w:sdt>
        <w:sdtPr>
          <w14:checkbox>
            <w14:checked w:val=""/>
            <w14:checkedState w:val=""/>
            <w14:uncheckedState w:val=""/>
          </w14:checkbox>
          <w:id w:val="184476184"/>
        </w:sdtPr>
        <w:sdtContent>
          <w:r>
            <w:rPr>
              <w:rFonts w:eastAsia="MS Gothic" w:ascii="MS Gothic" w:hAnsi="MS Gothic"/>
              <w:sz w:val="36"/>
            </w:rPr>
            <w:t>☐</w:t>
          </w:r>
        </w:sdtContent>
      </w:sdt>
      <w:r>
        <w:rPr>
          <w:sz w:val="36"/>
        </w:rPr>
        <w:t xml:space="preserve">  </w:t>
      </w:r>
      <w:r>
        <w:rPr>
          <w:b/>
          <w:u w:val="single"/>
        </w:rPr>
        <w:t>Groupement solidaire à compte unique</w:t>
      </w:r>
    </w:p>
    <w:p>
      <w:pPr>
        <w:pStyle w:val="Normal"/>
        <w:keepNext w:val="true"/>
        <w:spacing w:before="120" w:after="0"/>
        <w:rPr/>
      </w:pPr>
      <w:r>
        <w:rPr/>
        <w:t>Les prestataires désignés ci-devant :</w:t>
      </w:r>
    </w:p>
    <w:p>
      <w:pPr>
        <w:pStyle w:val="Paragraphe"/>
        <w:keepNext w:val="true"/>
        <w:rPr/>
      </w:pPr>
      <w:sdt>
        <w:sdtPr>
          <w14:checkbox>
            <w14:checked w:val=""/>
            <w14:checkedState w:val=""/>
            <w14:uncheckedState w:val=""/>
          </w14:checkbox>
          <w:id w:val="1176452598"/>
        </w:sdtPr>
        <w:sdtContent>
          <w:r>
            <w:rPr>
              <w:rFonts w:eastAsia="MS Gothic" w:ascii="MS Gothic" w:hAnsi="MS Gothic"/>
              <w:sz w:val="36"/>
            </w:rPr>
            <w:t>☐</w:t>
          </w:r>
        </w:sdtContent>
      </w:sdt>
      <w:r>
        <w:rPr/>
        <w:t xml:space="preserve"> </w:t>
      </w:r>
      <w:r>
        <w:rPr>
          <w:b/>
          <w:u w:val="single"/>
        </w:rPr>
        <w:t>refusent</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1383668813"/>
        </w:sdtPr>
        <w:sdtContent>
          <w:r>
            <w:rPr>
              <w:rFonts w:eastAsia="MS Gothic" w:ascii="MS Gothic" w:hAnsi="MS Gothic"/>
              <w:sz w:val="36"/>
            </w:rPr>
            <w:t>☐</w:t>
          </w:r>
        </w:sdtContent>
      </w:sdt>
      <w:r>
        <w:rPr/>
        <w:t xml:space="preserve"> </w:t>
      </w:r>
      <w:r>
        <w:rPr>
          <w:b/>
          <w:u w:val="single"/>
        </w:rPr>
        <w:t>ne refusent pas</w:t>
      </w:r>
      <w:r>
        <w:rPr/>
        <w:t xml:space="preserve"> de percevoir l'avance prévue à l'article</w:t>
      </w:r>
      <w:r>
        <w:rPr>
          <w:color w:val="000000"/>
        </w:rPr>
        <w:t xml:space="preserve"> 5-2 du CCAP.</w:t>
      </w:r>
    </w:p>
    <w:p>
      <w:pPr>
        <w:pStyle w:val="Paragraphe"/>
        <w:keepNext w:val="true"/>
        <w:spacing w:before="120" w:after="240"/>
        <w:ind w:left="-284" w:hanging="0"/>
        <w:rPr/>
      </w:pPr>
      <w:sdt>
        <w:sdtPr>
          <w14:checkbox>
            <w14:checked w:val=""/>
            <w14:checkedState w:val=""/>
            <w14:uncheckedState w:val=""/>
          </w14:checkbox>
          <w:id w:val="1938932588"/>
        </w:sdtPr>
        <w:sdtContent>
          <w:r>
            <w:rPr>
              <w:rFonts w:eastAsia="MS Gothic" w:ascii="MS Gothic" w:hAnsi="MS Gothic"/>
              <w:sz w:val="36"/>
            </w:rPr>
            <w:t>☐</w:t>
          </w:r>
        </w:sdtContent>
      </w:sdt>
      <w:r>
        <w:rPr/>
        <w:t xml:space="preserve">  </w:t>
      </w:r>
      <w:r>
        <w:rPr>
          <w:b/>
          <w:u w:val="single"/>
        </w:rPr>
        <w:t>Groupement solidaire à comptes séparés</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Avance prévue à l'article</w:t>
            </w:r>
            <w:r>
              <w:rPr>
                <w:b/>
                <w:color w:val="000000"/>
              </w:rPr>
              <w:t xml:space="preserve"> 5-2 du </w:t>
            </w:r>
            <w:r>
              <w:rPr>
                <w:b/>
              </w:rPr>
              <w:t>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119780708"/>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055787309"/>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29009282"/>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792061202"/>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949134948"/>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775746479"/>
              </w:sdtPr>
              <w:sdtContent>
                <w:r>
                  <w:rPr>
                    <w:rFonts w:eastAsia="MS Gothic" w:ascii="MS Gothic" w:hAnsi="MS Gothic"/>
                    <w:sz w:val="36"/>
                  </w:rPr>
                  <w:t>☐</w:t>
                </w:r>
              </w:sdtContent>
            </w:sdt>
            <w:r>
              <w:rPr/>
              <w:t xml:space="preserve"> </w:t>
            </w:r>
            <w:r>
              <w:rPr/>
              <w:t>ne refuse pas de la percevoir</w:t>
            </w:r>
          </w:p>
        </w:tc>
      </w:tr>
    </w:tbl>
    <w:p>
      <w:pPr>
        <w:pStyle w:val="Paragraphe"/>
        <w:keepNext w:val="true"/>
        <w:spacing w:before="120" w:after="240"/>
        <w:ind w:left="-284" w:hanging="0"/>
        <w:rPr/>
      </w:pPr>
      <w:sdt>
        <w:sdtPr>
          <w14:checkbox>
            <w14:checked w:val=""/>
            <w14:checkedState w:val=""/>
            <w14:uncheckedState w:val=""/>
          </w14:checkbox>
          <w:id w:val="1415289802"/>
        </w:sdtPr>
        <w:sdtContent>
          <w:r>
            <w:rPr>
              <w:rFonts w:eastAsia="MS Gothic" w:ascii="MS Gothic" w:hAnsi="MS Gothic"/>
              <w:sz w:val="36"/>
            </w:rPr>
            <w:t>☐</w:t>
          </w:r>
        </w:sdtContent>
      </w:sdt>
      <w:r>
        <w:rPr/>
        <w:t xml:space="preserve">  </w:t>
      </w:r>
      <w:r>
        <w:rPr>
          <w:b/>
          <w:u w:val="single"/>
        </w:rPr>
        <w:t>Groupement conjoint</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 xml:space="preserve">Avance prévue à l'article </w:t>
            </w:r>
            <w:r>
              <w:rPr>
                <w:b/>
                <w:color w:val="000000"/>
              </w:rPr>
              <w:t>5-2 d</w:t>
            </w:r>
            <w:r>
              <w:rPr>
                <w:b/>
              </w:rPr>
              <w:t>u 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349351053"/>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682782206"/>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76997437"/>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546534127"/>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449683825"/>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741462154"/>
              </w:sdtPr>
              <w:sdtContent>
                <w:r>
                  <w:rPr>
                    <w:rFonts w:eastAsia="MS Gothic" w:ascii="MS Gothic" w:hAnsi="MS Gothic"/>
                    <w:sz w:val="36"/>
                  </w:rPr>
                  <w:t>☐</w:t>
                </w:r>
              </w:sdtContent>
            </w:sdt>
            <w:r>
              <w:rPr/>
              <w:t xml:space="preserve"> </w:t>
            </w:r>
            <w:r>
              <w:rPr/>
              <w:t>ne refuse pas de la percevoir</w:t>
            </w:r>
          </w:p>
        </w:tc>
      </w:tr>
    </w:tbl>
    <w:p>
      <w:pPr>
        <w:pStyle w:val="Normal"/>
        <w:rPr>
          <w:color w:val="00B050"/>
        </w:rPr>
      </w:pPr>
      <w:r>
        <w:rPr>
          <w:color w:val="00B050"/>
        </w:rPr>
      </w:r>
    </w:p>
    <w:p>
      <w:pPr>
        <w:pStyle w:val="Normal"/>
        <w:spacing w:before="360" w:after="0"/>
        <w:rPr>
          <w:color w:val="00B050"/>
          <w:sz w:val="16"/>
        </w:rPr>
      </w:pPr>
      <w:r>
        <w:rPr>
          <w:color w:val="00B050"/>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428"/>
        <w:gridCol w:w="3979"/>
        <w:gridCol w:w="492"/>
        <w:gridCol w:w="3901"/>
        <w:gridCol w:w="292"/>
        <w:gridCol w:w="263"/>
      </w:tblGrid>
      <w:tr>
        <w:trPr/>
        <w:tc>
          <w:tcPr>
            <w:tcW w:w="9355" w:type="dxa"/>
            <w:gridSpan w:val="6"/>
            <w:tcBorders>
              <w:top w:val="single" w:sz="4" w:space="0" w:color="000000"/>
              <w:left w:val="single" w:sz="4" w:space="0" w:color="000000"/>
              <w:right w:val="single" w:sz="8" w:space="0" w:color="000000"/>
            </w:tcBorders>
          </w:tcPr>
          <w:p>
            <w:pPr>
              <w:pStyle w:val="Normal"/>
              <w:keepNext w:val="true"/>
              <w:widowControl w:val="false"/>
              <w:snapToGrid w:val="false"/>
              <w:ind w:left="74" w:hanging="0"/>
              <w:rPr/>
            </w:pPr>
            <w:r>
              <w:rPr/>
              <w:t>Fait en un seul original</w:t>
            </w:r>
          </w:p>
        </w:tc>
      </w:tr>
      <w:tr>
        <w:trPr/>
        <w:tc>
          <w:tcPr>
            <w:tcW w:w="428" w:type="dxa"/>
            <w:tcBorders>
              <w:left w:val="single" w:sz="4" w:space="0" w:color="000000"/>
            </w:tcBorders>
          </w:tcPr>
          <w:p>
            <w:pPr>
              <w:pStyle w:val="Normal"/>
              <w:keepNext w:val="true"/>
              <w:widowControl w:val="false"/>
              <w:snapToGrid w:val="false"/>
              <w:ind w:left="74" w:hanging="0"/>
              <w:rPr/>
            </w:pPr>
            <w:r>
              <w:rPr/>
              <w:t>à :</w:t>
            </w:r>
          </w:p>
        </w:tc>
        <w:tc>
          <w:tcPr>
            <w:tcW w:w="3979"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492" w:type="dxa"/>
            <w:tcBorders>
              <w:left w:val="single" w:sz="4" w:space="0" w:color="000000"/>
            </w:tcBorders>
          </w:tcPr>
          <w:p>
            <w:pPr>
              <w:pStyle w:val="Normal"/>
              <w:keepNext w:val="true"/>
              <w:widowControl w:val="false"/>
              <w:snapToGrid w:val="false"/>
              <w:jc w:val="center"/>
              <w:rPr/>
            </w:pPr>
            <w:r>
              <w:rPr/>
              <w:t>le :</w:t>
            </w:r>
          </w:p>
        </w:tc>
        <w:tc>
          <w:tcPr>
            <w:tcW w:w="4193" w:type="dxa"/>
            <w:gridSpan w:val="2"/>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263" w:type="dxa"/>
            <w:tcBorders>
              <w:left w:val="single" w:sz="4" w:space="0" w:color="000000"/>
              <w:right w:val="single" w:sz="8" w:space="0" w:color="000000"/>
            </w:tcBorders>
          </w:tcPr>
          <w:p>
            <w:pPr>
              <w:pStyle w:val="Normal"/>
              <w:keepNext w:val="true"/>
              <w:widowControl w:val="false"/>
              <w:snapToGrid w:val="false"/>
              <w:rPr/>
            </w:pPr>
            <w:r>
              <w:rPr/>
            </w:r>
          </w:p>
        </w:tc>
      </w:tr>
      <w:tr>
        <w:trPr/>
        <w:tc>
          <w:tcPr>
            <w:tcW w:w="428" w:type="dxa"/>
            <w:tcBorders>
              <w:left w:val="single" w:sz="4" w:space="0" w:color="000000"/>
            </w:tcBorders>
          </w:tcPr>
          <w:p>
            <w:pPr>
              <w:pStyle w:val="Normal"/>
              <w:keepNext w:val="true"/>
              <w:widowControl w:val="false"/>
              <w:snapToGrid w:val="false"/>
              <w:rPr/>
            </w:pPr>
            <w:r>
              <w:rPr/>
            </w:r>
          </w:p>
        </w:tc>
        <w:tc>
          <w:tcPr>
            <w:tcW w:w="3979" w:type="dxa"/>
            <w:tcBorders/>
          </w:tcPr>
          <w:p>
            <w:pPr>
              <w:pStyle w:val="Normal"/>
              <w:keepNext w:val="true"/>
              <w:widowControl w:val="false"/>
              <w:snapToGrid w:val="false"/>
              <w:rPr/>
            </w:pPr>
            <w:r>
              <w:rPr/>
            </w:r>
          </w:p>
        </w:tc>
        <w:tc>
          <w:tcPr>
            <w:tcW w:w="492" w:type="dxa"/>
            <w:tcBorders/>
          </w:tcPr>
          <w:p>
            <w:pPr>
              <w:pStyle w:val="Normal"/>
              <w:keepNext w:val="true"/>
              <w:widowControl w:val="false"/>
              <w:snapToGrid w:val="false"/>
              <w:rPr/>
            </w:pPr>
            <w:r>
              <w:rPr/>
            </w:r>
          </w:p>
        </w:tc>
        <w:tc>
          <w:tcPr>
            <w:tcW w:w="4456" w:type="dxa"/>
            <w:gridSpan w:val="3"/>
            <w:tcBorders>
              <w:right w:val="single" w:sz="8" w:space="0" w:color="000000"/>
            </w:tcBorders>
          </w:tcPr>
          <w:p>
            <w:pPr>
              <w:pStyle w:val="Normal"/>
              <w:keepNext w:val="true"/>
              <w:widowControl w:val="false"/>
              <w:snapToGrid w:val="false"/>
              <w:rPr/>
            </w:pPr>
            <w:r>
              <w:rPr/>
            </w:r>
          </w:p>
        </w:tc>
      </w:tr>
      <w:tr>
        <w:trPr/>
        <w:tc>
          <w:tcPr>
            <w:tcW w:w="9355" w:type="dxa"/>
            <w:gridSpan w:val="6"/>
            <w:tcBorders>
              <w:left w:val="single" w:sz="4" w:space="0" w:color="000000"/>
              <w:right w:val="single" w:sz="8" w:space="0" w:color="000000"/>
            </w:tcBorders>
          </w:tcPr>
          <w:p>
            <w:pPr>
              <w:pStyle w:val="Normal"/>
              <w:keepNext w:val="true"/>
              <w:widowControl w:val="false"/>
              <w:snapToGrid w:val="false"/>
              <w:ind w:left="74" w:hanging="0"/>
              <w:rPr/>
            </w:pPr>
            <w:r>
              <w:rPr/>
              <w:t>Signature(s) du/des prestataire(s) :</w:t>
            </w:r>
          </w:p>
        </w:tc>
      </w:tr>
      <w:tr>
        <w:trPr/>
        <w:tc>
          <w:tcPr>
            <w:tcW w:w="428" w:type="dxa"/>
            <w:tcBorders>
              <w:left w:val="single" w:sz="4" w:space="0" w:color="000000"/>
            </w:tcBorders>
          </w:tcPr>
          <w:p>
            <w:pPr>
              <w:pStyle w:val="Normal"/>
              <w:keepNext w:val="true"/>
              <w:widowControl w:val="false"/>
              <w:snapToGrid w:val="false"/>
              <w:rPr/>
            </w:pPr>
            <w:r>
              <w:rPr/>
            </w:r>
          </w:p>
        </w:tc>
        <w:tc>
          <w:tcPr>
            <w:tcW w:w="8664" w:type="dxa"/>
            <w:gridSpan w:val="4"/>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tc>
        <w:tc>
          <w:tcPr>
            <w:tcW w:w="263" w:type="dxa"/>
            <w:tcBorders>
              <w:right w:val="single" w:sz="8" w:space="0" w:color="000000"/>
            </w:tcBorders>
          </w:tcPr>
          <w:p>
            <w:pPr>
              <w:pStyle w:val="Normal"/>
              <w:keepNext w:val="true"/>
              <w:widowControl w:val="false"/>
              <w:snapToGrid w:val="false"/>
              <w:rPr/>
            </w:pPr>
            <w:r>
              <w:rPr/>
            </w:r>
          </w:p>
        </w:tc>
      </w:tr>
      <w:tr>
        <w:trPr>
          <w:trHeight w:val="80" w:hRule="exact"/>
        </w:trPr>
        <w:tc>
          <w:tcPr>
            <w:tcW w:w="428" w:type="dxa"/>
            <w:tcBorders>
              <w:left w:val="single" w:sz="4" w:space="0" w:color="000000"/>
              <w:bottom w:val="single" w:sz="8" w:space="0" w:color="000000"/>
            </w:tcBorders>
          </w:tcPr>
          <w:p>
            <w:pPr>
              <w:pStyle w:val="Normal"/>
              <w:keepNext w:val="true"/>
              <w:widowControl w:val="false"/>
              <w:snapToGrid w:val="false"/>
              <w:rPr/>
            </w:pPr>
            <w:r>
              <w:rPr/>
            </w:r>
          </w:p>
        </w:tc>
        <w:tc>
          <w:tcPr>
            <w:tcW w:w="3979" w:type="dxa"/>
            <w:tcBorders>
              <w:bottom w:val="single" w:sz="8" w:space="0" w:color="000000"/>
            </w:tcBorders>
          </w:tcPr>
          <w:p>
            <w:pPr>
              <w:pStyle w:val="Normal"/>
              <w:keepNext w:val="true"/>
              <w:widowControl w:val="false"/>
              <w:snapToGrid w:val="false"/>
              <w:rPr/>
            </w:pPr>
            <w:r>
              <w:rPr/>
            </w:r>
          </w:p>
        </w:tc>
        <w:tc>
          <w:tcPr>
            <w:tcW w:w="492" w:type="dxa"/>
            <w:tcBorders>
              <w:bottom w:val="single" w:sz="8" w:space="0" w:color="000000"/>
            </w:tcBorders>
          </w:tcPr>
          <w:p>
            <w:pPr>
              <w:pStyle w:val="Normal"/>
              <w:keepNext w:val="true"/>
              <w:widowControl w:val="false"/>
              <w:snapToGrid w:val="false"/>
              <w:rPr/>
            </w:pPr>
            <w:r>
              <w:rPr/>
            </w:r>
          </w:p>
        </w:tc>
        <w:tc>
          <w:tcPr>
            <w:tcW w:w="3901" w:type="dxa"/>
            <w:tcBorders>
              <w:bottom w:val="single" w:sz="8" w:space="0" w:color="000000"/>
            </w:tcBorders>
          </w:tcPr>
          <w:p>
            <w:pPr>
              <w:pStyle w:val="Normal"/>
              <w:keepNext w:val="true"/>
              <w:widowControl w:val="false"/>
              <w:snapToGrid w:val="false"/>
              <w:rPr/>
            </w:pPr>
            <w:r>
              <w:rPr/>
            </w:r>
          </w:p>
        </w:tc>
        <w:tc>
          <w:tcPr>
            <w:tcW w:w="555" w:type="dxa"/>
            <w:gridSpan w:val="2"/>
            <w:tcBorders>
              <w:bottom w:val="single" w:sz="8" w:space="0" w:color="000000"/>
              <w:right w:val="single" w:sz="8" w:space="0" w:color="000000"/>
            </w:tcBorders>
          </w:tcPr>
          <w:p>
            <w:pPr>
              <w:pStyle w:val="Normal"/>
              <w:keepNext w:val="true"/>
              <w:widowControl w:val="false"/>
              <w:snapToGrid w:val="false"/>
              <w:rPr/>
            </w:pPr>
            <w:r>
              <w:rPr/>
            </w:r>
          </w:p>
        </w:tc>
      </w:tr>
    </w:tbl>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6"/>
        </w:rPr>
      </w:pPr>
      <w:r>
        <w:rPr>
          <w:sz w:val="6"/>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437"/>
        <w:gridCol w:w="4917"/>
      </w:tblGrid>
      <w:tr>
        <w:trPr/>
        <w:tc>
          <w:tcPr>
            <w:tcW w:w="9354" w:type="dxa"/>
            <w:gridSpan w:val="2"/>
            <w:tcBorders>
              <w:top w:val="single" w:sz="4" w:space="0" w:color="000000"/>
              <w:left w:val="single" w:sz="4" w:space="0" w:color="000000"/>
              <w:right w:val="single" w:sz="8" w:space="0" w:color="000000"/>
            </w:tcBorders>
            <w:shd w:color="auto" w:fill="CCCCCC" w:val="clear"/>
          </w:tcPr>
          <w:p>
            <w:pPr>
              <w:pStyle w:val="Normal"/>
              <w:keepNext w:val="true"/>
              <w:keepLines/>
              <w:widowControl w:val="false"/>
              <w:snapToGrid w:val="false"/>
              <w:jc w:val="center"/>
              <w:rPr>
                <w:b/>
                <w:b/>
              </w:rPr>
            </w:pPr>
            <w:r>
              <w:rPr>
                <w:b/>
              </w:rPr>
              <w:t>Acceptation de l'offre</w:t>
            </w:r>
          </w:p>
        </w:tc>
      </w:tr>
      <w:tr>
        <w:trPr>
          <w:trHeight w:val="400" w:hRule="exact"/>
        </w:trPr>
        <w:tc>
          <w:tcPr>
            <w:tcW w:w="9354" w:type="dxa"/>
            <w:gridSpan w:val="2"/>
            <w:tcBorders>
              <w:top w:val="single" w:sz="4" w:space="0" w:color="000000"/>
              <w:left w:val="single" w:sz="4" w:space="0" w:color="000000"/>
              <w:right w:val="single" w:sz="8" w:space="0" w:color="000000"/>
            </w:tcBorders>
          </w:tcPr>
          <w:p>
            <w:pPr>
              <w:pStyle w:val="Normal"/>
              <w:keepNext w:val="true"/>
              <w:keepLines/>
              <w:widowControl w:val="false"/>
              <w:snapToGrid w:val="false"/>
              <w:rPr/>
            </w:pPr>
            <w:r>
              <w:rPr/>
              <w:t>Est acceptée la présente offre pour valoir acte d'engagement.</w:t>
            </w:r>
          </w:p>
        </w:tc>
      </w:tr>
      <w:tr>
        <w:trPr/>
        <w:tc>
          <w:tcPr>
            <w:tcW w:w="9354" w:type="dxa"/>
            <w:gridSpan w:val="2"/>
            <w:tcBorders>
              <w:left w:val="single" w:sz="4" w:space="0" w:color="000000"/>
              <w:right w:val="single" w:sz="8" w:space="0" w:color="000000"/>
            </w:tcBorders>
          </w:tcPr>
          <w:p>
            <w:pPr>
              <w:pStyle w:val="Normal"/>
              <w:keepNext w:val="true"/>
              <w:keepLines/>
              <w:widowControl w:val="false"/>
              <w:snapToGrid w:val="false"/>
              <w:rPr/>
            </w:pPr>
            <w:r>
              <w:rPr/>
              <w:t>L</w:t>
            </w:r>
            <w:r>
              <w:rPr>
                <w:rFonts w:eastAsia="Times New Roman" w:cs="Times New Roman"/>
                <w:szCs w:val="20"/>
              </w:rPr>
              <w:t>e représentant de l’acheteur</w:t>
            </w:r>
          </w:p>
        </w:tc>
      </w:tr>
      <w:tr>
        <w:trPr>
          <w:trHeight w:val="2000" w:hRule="atLeast"/>
        </w:trPr>
        <w:tc>
          <w:tcPr>
            <w:tcW w:w="4437" w:type="dxa"/>
            <w:tcBorders>
              <w:left w:val="single" w:sz="4" w:space="0" w:color="000000"/>
              <w:bottom w:val="single" w:sz="8" w:space="0" w:color="000000"/>
            </w:tcBorders>
            <w:tcMar>
              <w:left w:w="70" w:type="dxa"/>
              <w:right w:w="70" w:type="dxa"/>
            </w:tcMar>
          </w:tcPr>
          <w:p>
            <w:pPr>
              <w:pStyle w:val="Normal"/>
              <w:keepNext w:val="true"/>
              <w:keepLines/>
              <w:widowControl w:val="false"/>
              <w:snapToGrid w:val="false"/>
              <w:rPr/>
            </w:pPr>
            <w:r>
              <w:rPr/>
              <w:t>A :</w:t>
            </w:r>
          </w:p>
        </w:tc>
        <w:tc>
          <w:tcPr>
            <w:tcW w:w="4917" w:type="dxa"/>
            <w:tcBorders>
              <w:bottom w:val="single" w:sz="8" w:space="0" w:color="000000"/>
              <w:right w:val="single" w:sz="8" w:space="0" w:color="000000"/>
            </w:tcBorders>
            <w:tcMar>
              <w:left w:w="70" w:type="dxa"/>
              <w:right w:w="70" w:type="dxa"/>
            </w:tcMar>
          </w:tcPr>
          <w:p>
            <w:pPr>
              <w:pStyle w:val="Normal"/>
              <w:keepNext w:val="true"/>
              <w:keepLines/>
              <w:widowControl w:val="false"/>
              <w:snapToGrid w:val="false"/>
              <w:rPr/>
            </w:pPr>
            <w:r>
              <w:rPr/>
              <w:t>Le :</w:t>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tc>
      </w:tr>
    </w:tbl>
    <w:p>
      <w:pPr>
        <w:pStyle w:val="Normal"/>
        <w:rPr>
          <w:sz w:val="2"/>
        </w:rPr>
      </w:pPr>
      <w:r>
        <w:rPr>
          <w:sz w:val="2"/>
        </w:rPr>
      </w:r>
    </w:p>
    <w:p>
      <w:pPr>
        <w:pStyle w:val="Normal"/>
        <w:rPr>
          <w:sz w:val="2"/>
        </w:rPr>
      </w:pPr>
      <w:r>
        <w:rPr>
          <w:sz w:val="2"/>
        </w:rPr>
      </w:r>
    </w:p>
    <w:p>
      <w:pPr>
        <w:pStyle w:val="Normal"/>
        <w:rPr>
          <w:sz w:val="6"/>
        </w:rPr>
      </w:pPr>
      <w:r>
        <w:rPr>
          <w:sz w:val="6"/>
        </w:rPr>
      </w:r>
    </w:p>
    <w:p>
      <w:pPr>
        <w:pStyle w:val="Normal"/>
        <w:rPr/>
      </w:pPr>
      <w:r>
        <w:rPr/>
      </w:r>
    </w:p>
    <w:p>
      <w:pPr>
        <w:pStyle w:val="Normal"/>
        <w:rPr/>
      </w:pPr>
      <w:r>
        <w:rPr/>
      </w:r>
      <w:r>
        <w:br w:type="page"/>
      </w:r>
    </w:p>
    <w:p>
      <w:pPr>
        <w:pStyle w:val="Normal"/>
        <w:rPr/>
      </w:pPr>
      <w:r>
        <w:rPr/>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1491210333"/>
        </w:sdtPr>
        <w:sdtContent>
          <w:r>
            <w:rPr>
              <w:rFonts w:eastAsia="MS Gothic" w:ascii="MS Gothic" w:hAnsi="MS Gothic"/>
              <w:sz w:val="36"/>
            </w:rPr>
            <w:t>☐</w:t>
          </w:r>
        </w:sdtContent>
      </w:sdt>
      <w:r>
        <w:rPr/>
        <w:t xml:space="preserve"> </w:t>
      </w:r>
      <w:r>
        <w:rPr>
          <w:b/>
          <w:sz w:val="32"/>
        </w:rPr>
        <w:t>ANNEXE N°___ A L'ACTE D'ENGAGEMENT</w:t>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EN CAS DE GROUPEMENT CONJOINT</w:t>
      </w:r>
    </w:p>
    <w:p>
      <w:pPr>
        <w:pStyle w:val="Paragraphe"/>
        <w:spacing w:before="240" w:after="0"/>
        <w:jc w:val="center"/>
        <w:rPr>
          <w:b/>
          <w:b/>
          <w:sz w:val="28"/>
        </w:rPr>
      </w:pPr>
      <w:r>
        <w:rPr>
          <w:b/>
          <w:sz w:val="28"/>
        </w:rPr>
        <w:t>Détail des prestations exécutées par chacun des cotraitants</w:t>
      </w:r>
    </w:p>
    <w:p>
      <w:pPr>
        <w:pStyle w:val="Paragraphe"/>
        <w:spacing w:before="120" w:after="240"/>
        <w:jc w:val="center"/>
        <w:rPr>
          <w:b/>
          <w:b/>
          <w:sz w:val="28"/>
        </w:rPr>
      </w:pPr>
      <w:r>
        <w:rPr>
          <w:b/>
          <w:sz w:val="28"/>
        </w:rPr>
        <w:t>Répartition de la rémunération correspondante</w:t>
      </w:r>
    </w:p>
    <w:p>
      <w:pPr>
        <w:pStyle w:val="Paradouble"/>
        <w:keepNext w:val="true"/>
        <w:rPr>
          <w:b/>
          <w:b/>
          <w:sz w:val="28"/>
          <w:u w:val="single"/>
        </w:rPr>
      </w:pPr>
      <w:r>
        <w:rPr>
          <w:b/>
          <w:sz w:val="28"/>
          <w:u w:val="single"/>
        </w:rPr>
        <w:t>1. Détail des prestations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92"/>
        <w:gridCol w:w="4244"/>
        <w:gridCol w:w="4619"/>
      </w:tblGrid>
      <w:tr>
        <w:trPr>
          <w:tblHeader w:val="true"/>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Nom du mandataire</w:t>
            </w:r>
          </w:p>
          <w:p>
            <w:pPr>
              <w:pStyle w:val="Normal"/>
              <w:widowControl w:val="false"/>
              <w:jc w:val="center"/>
              <w:rPr>
                <w:b/>
                <w:b/>
              </w:rPr>
            </w:pPr>
            <w:r>
              <w:rPr>
                <w:b/>
              </w:rPr>
              <w:t>cotraitant 1</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du mandataire - Poste(s) technique(s)</w:t>
            </w:r>
          </w:p>
        </w:tc>
      </w:tr>
      <w:tr>
        <w:trPr>
          <w:tblHeader w:val="true"/>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des autres cotraitants - Poste(s) technique(s)</w:t>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N°2</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N°3</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bottom w:val="single" w:sz="4" w:space="0" w:color="000000"/>
              <w:right w:val="single" w:sz="4" w:space="0" w:color="000000"/>
            </w:tcBorders>
          </w:tcPr>
          <w:p>
            <w:pPr>
              <w:pStyle w:val="Normal"/>
              <w:keepNext w:val="true"/>
              <w:widowControl w:val="false"/>
              <w:snapToGrid w:val="false"/>
              <w:jc w:val="center"/>
              <w:rPr>
                <w:b/>
                <w:b/>
                <w:sz w:val="6"/>
              </w:rPr>
            </w:pPr>
            <w:r>
              <w:rPr>
                <w:b/>
                <w:sz w:val="6"/>
              </w:rPr>
            </w:r>
          </w:p>
        </w:tc>
      </w:tr>
    </w:tbl>
    <w:p>
      <w:pPr>
        <w:pStyle w:val="Normal"/>
        <w:keepNext w:val="true"/>
        <w:keepLines/>
        <w:spacing w:before="240" w:after="240"/>
        <w:rPr>
          <w:b/>
          <w:b/>
          <w:sz w:val="28"/>
          <w:u w:val="single"/>
        </w:rPr>
      </w:pPr>
      <w:r>
        <w:rPr>
          <w:b/>
          <w:sz w:val="28"/>
          <w:u w:val="single"/>
        </w:rPr>
        <w:t xml:space="preserve">2. Répartition de la rémunération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521"/>
        <w:gridCol w:w="535"/>
        <w:gridCol w:w="705"/>
        <w:gridCol w:w="834"/>
        <w:gridCol w:w="431"/>
        <w:gridCol w:w="2105"/>
        <w:gridCol w:w="1814"/>
        <w:gridCol w:w="2409"/>
      </w:tblGrid>
      <w:tr>
        <w:trPr>
          <w:tblHeader w:val="true"/>
        </w:trPr>
        <w:tc>
          <w:tcPr>
            <w:tcW w:w="3026"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05"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14"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26"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ind w:left="110" w:hanging="0"/>
              <w:rPr>
                <w:b/>
                <w:b/>
                <w:sz w:val="6"/>
              </w:rPr>
            </w:pPr>
            <w:r>
              <w:rPr>
                <w:b/>
                <w:sz w:val="6"/>
              </w:rPr>
            </w:r>
          </w:p>
        </w:tc>
        <w:tc>
          <w:tcPr>
            <w:tcW w:w="2105"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1814"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jc w:val="left"/>
              <w:rPr>
                <w:sz w:val="6"/>
              </w:rPr>
            </w:pPr>
            <w:r>
              <w:rPr>
                <w:sz w:val="6"/>
              </w:rPr>
            </w:r>
          </w:p>
        </w:tc>
      </w:tr>
      <w:tr>
        <w:trPr/>
        <w:tc>
          <w:tcPr>
            <w:tcW w:w="3026"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26" w:type="dxa"/>
            <w:gridSpan w:val="5"/>
            <w:tcBorders>
              <w:left w:val="single" w:sz="4" w:space="0" w:color="000000"/>
            </w:tcBorders>
          </w:tcPr>
          <w:p>
            <w:pPr>
              <w:pStyle w:val="Normal"/>
              <w:keepNext w:val="true"/>
              <w:widowControl w:val="false"/>
              <w:snapToGrid w:val="false"/>
              <w:jc w:val="left"/>
              <w:rPr>
                <w:sz w:val="6"/>
              </w:rPr>
            </w:pPr>
            <w:r>
              <w:rPr>
                <w:sz w:val="6"/>
              </w:rPr>
            </w:r>
          </w:p>
        </w:tc>
        <w:tc>
          <w:tcPr>
            <w:tcW w:w="2105" w:type="dxa"/>
            <w:tcBorders>
              <w:left w:val="single" w:sz="4" w:space="0" w:color="000000"/>
            </w:tcBorders>
          </w:tcPr>
          <w:p>
            <w:pPr>
              <w:pStyle w:val="Normal"/>
              <w:keepNext w:val="true"/>
              <w:widowControl w:val="false"/>
              <w:snapToGrid w:val="false"/>
              <w:jc w:val="center"/>
              <w:rPr>
                <w:b/>
                <w:b/>
                <w:sz w:val="6"/>
              </w:rPr>
            </w:pPr>
            <w:r>
              <w:rPr>
                <w:b/>
                <w:sz w:val="6"/>
              </w:rPr>
            </w:r>
          </w:p>
        </w:tc>
        <w:tc>
          <w:tcPr>
            <w:tcW w:w="1814" w:type="dxa"/>
            <w:tcBorders>
              <w:left w:val="single" w:sz="4" w:space="0" w:color="000000"/>
            </w:tcBorders>
          </w:tcPr>
          <w:p>
            <w:pPr>
              <w:pStyle w:val="Normal"/>
              <w:keepNext w:val="true"/>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3026"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1814"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2409" w:type="dxa"/>
            <w:tcBorders>
              <w:top w:val="single" w:sz="4" w:space="0" w:color="000000"/>
              <w:left w:val="single" w:sz="4" w:space="0" w:color="000000"/>
              <w:right w:val="single" w:sz="4" w:space="0" w:color="000000"/>
            </w:tcBorders>
          </w:tcPr>
          <w:p>
            <w:pPr>
              <w:pStyle w:val="Normal"/>
              <w:widowControl w:val="false"/>
              <w:snapToGrid w:val="false"/>
              <w:jc w:val="center"/>
              <w:rPr>
                <w:b/>
                <w:b/>
                <w:sz w:val="6"/>
              </w:rPr>
            </w:pPr>
            <w:r>
              <w:rPr>
                <w:b/>
                <w:sz w:val="6"/>
              </w:rPr>
            </w:r>
          </w:p>
        </w:tc>
      </w:tr>
    </w:tbl>
    <w:p>
      <w:pPr>
        <w:pStyle w:val="Normal"/>
        <w:rPr/>
      </w:pPr>
      <w:r>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3025"/>
        <w:gridCol w:w="2105"/>
        <w:gridCol w:w="1815"/>
        <w:gridCol w:w="2409"/>
      </w:tblGrid>
      <w:tr>
        <w:trPr/>
        <w:tc>
          <w:tcPr>
            <w:tcW w:w="3025" w:type="dxa"/>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181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keepNext w:val="true"/>
              <w:widowControl w:val="false"/>
              <w:snapToGrid w:val="false"/>
              <w:jc w:val="left"/>
              <w:rPr>
                <w:b/>
                <w:b/>
                <w:sz w:val="22"/>
              </w:rPr>
            </w:pPr>
            <w:r>
              <w:rPr>
                <w:b/>
                <w:sz w:val="22"/>
              </w:rPr>
            </w:r>
          </w:p>
        </w:tc>
      </w:tr>
      <w:tr>
        <w:trPr/>
        <w:tc>
          <w:tcPr>
            <w:tcW w:w="3025" w:type="dxa"/>
            <w:tcBorders>
              <w:left w:val="single" w:sz="4" w:space="0" w:color="000000"/>
              <w:bottom w:val="single" w:sz="4" w:space="0" w:color="000000"/>
            </w:tcBorders>
          </w:tcPr>
          <w:p>
            <w:pPr>
              <w:pStyle w:val="Normal"/>
              <w:widowControl w:val="false"/>
              <w:snapToGrid w:val="false"/>
              <w:ind w:left="142" w:hanging="0"/>
              <w:jc w:val="left"/>
              <w:rPr/>
            </w:pPr>
            <w:r>
              <w:rPr>
                <w:b/>
                <w:sz w:val="22"/>
              </w:rPr>
              <w:t>Total du marché</w:t>
            </w:r>
            <w:r>
              <w:rPr>
                <w:sz w:val="22"/>
              </w:rPr>
              <w:t xml:space="preserve"> (I) + (II)</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rPr/>
      </w:pPr>
      <w:r>
        <w:rPr/>
      </w:r>
    </w:p>
    <w:tbl>
      <w:tblPr>
        <w:tblW w:w="9449"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531"/>
        <w:gridCol w:w="532"/>
        <w:gridCol w:w="718"/>
        <w:gridCol w:w="843"/>
        <w:gridCol w:w="431"/>
        <w:gridCol w:w="2126"/>
        <w:gridCol w:w="1852"/>
        <w:gridCol w:w="2414"/>
      </w:tblGrid>
      <w:tr>
        <w:trPr>
          <w:tblHeader w:val="true"/>
        </w:trPr>
        <w:tc>
          <w:tcPr>
            <w:tcW w:w="3055"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26"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52"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14"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55"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2"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4"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55"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2"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4"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bottom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bottom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bottom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2"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4"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numPr>
          <w:ilvl w:val="0"/>
          <w:numId w:val="0"/>
        </w:numPr>
        <w:ind w:left="72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p>
    <w:p>
      <w:pPr>
        <w:pStyle w:val="Normal"/>
        <w:widowControl w:val="false"/>
        <w:numPr>
          <w:ilvl w:val="0"/>
          <w:numId w:val="0"/>
        </w:numPr>
        <w:suppressAutoHyphens w:val="true"/>
        <w:ind w:left="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r>
        <w:br w:type="page"/>
      </w:r>
    </w:p>
    <w:p>
      <w:pPr>
        <w:pStyle w:val="Normal"/>
        <w:widowControl w:val="false"/>
        <w:numPr>
          <w:ilvl w:val="0"/>
          <w:numId w:val="0"/>
        </w:numPr>
        <w:suppressAutoHyphens w:val="true"/>
        <w:ind w:left="0" w:hanging="0"/>
        <w:jc w:val="both"/>
        <w:rPr/>
      </w:pPr>
      <w:r>
        <w:rPr/>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352247600"/>
        </w:sdtPr>
        <w:sdtContent>
          <w:r>
            <w:rPr>
              <w:rFonts w:eastAsia="MS Gothic" w:ascii="MS Gothic" w:hAnsi="MS Gothic"/>
              <w:sz w:val="36"/>
            </w:rPr>
            <w:t>☐</w:t>
          </w:r>
        </w:sdtContent>
      </w:sdt>
      <w:r>
        <w:rPr/>
        <w:t xml:space="preserve"> </w:t>
      </w:r>
      <w:r>
        <w:rPr>
          <w:b/>
          <w:sz w:val="32"/>
        </w:rPr>
        <w:t>ANNEXE N°___ A L’ACTE D’ENGAGEMENT</w:t>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RELATIVE AUX CLAUSES SOCIALES</w:t>
      </w:r>
    </w:p>
    <w:p>
      <w:pPr>
        <w:pStyle w:val="Normal"/>
        <w:widowControl w:val="false"/>
        <w:numPr>
          <w:ilvl w:val="0"/>
          <w:numId w:val="0"/>
        </w:numPr>
        <w:suppressAutoHyphens w:val="true"/>
        <w:ind w:left="0" w:hanging="0"/>
        <w:jc w:val="both"/>
        <w:rPr/>
      </w:pPr>
      <w:r>
        <w:rPr/>
      </w:r>
    </w:p>
    <w:p>
      <w:pPr>
        <w:pStyle w:val="Normal"/>
        <w:widowControl w:val="false"/>
        <w:numPr>
          <w:ilvl w:val="0"/>
          <w:numId w:val="0"/>
        </w:numPr>
        <w:suppressAutoHyphens w:val="true"/>
        <w:ind w:left="0" w:hanging="0"/>
        <w:jc w:val="both"/>
        <w:rPr/>
      </w:pPr>
      <w:r>
        <w:rPr/>
      </w:r>
    </w:p>
    <w:p>
      <w:pPr>
        <w:pStyle w:val="Normal"/>
        <w:tabs>
          <w:tab w:val="clear" w:pos="709"/>
          <w:tab w:val="left" w:pos="360"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Représenté par :</w:t>
        <w:tab/>
        <w:t xml:space="preserve"> Nom du signataire</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Prénom</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Qualité</w:t>
      </w:r>
    </w:p>
    <w:p>
      <w:pPr>
        <w:pStyle w:val="Normal"/>
        <w:tabs>
          <w:tab w:val="clear" w:pos="709"/>
          <w:tab w:val="left" w:pos="1701"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Déclare avoir pris connaissance du cahier des clauses administratives particulières et notamment de l’articl</w:t>
      </w:r>
      <w:r>
        <w:rPr>
          <w:rFonts w:ascii="Calibri" w:hAnsi="Calibri" w:asciiTheme="minorHAnsi" w:hAnsiTheme="minorHAnsi"/>
          <w:iCs/>
          <w:sz w:val="22"/>
          <w:szCs w:val="22"/>
          <w:shd w:fill="auto" w:val="clear"/>
        </w:rPr>
        <w:t>e N° 1-8.6.1 relatif à l’action obligatoire d’insertion ;</w:t>
      </w:r>
    </w:p>
    <w:p>
      <w:pPr>
        <w:pStyle w:val="Normal"/>
        <w:numPr>
          <w:ilvl w:val="0"/>
          <w:numId w:val="0"/>
        </w:numPr>
        <w:ind w:left="720" w:hanging="0"/>
        <w:jc w:val="both"/>
        <w:rPr>
          <w:rFonts w:ascii="Calibri" w:hAnsi="Calibri" w:asciiTheme="minorHAnsi" w:hAnsiTheme="minorHAnsi"/>
          <w:iCs/>
          <w:sz w:val="22"/>
          <w:szCs w:val="22"/>
          <w:highlight w:val="none"/>
          <w:shd w:fill="auto" w:val="clear"/>
        </w:rPr>
      </w:pPr>
      <w:r>
        <w:rPr>
          <w:rFonts w:asciiTheme="minorHAnsi" w:hAnsiTheme="minorHAnsi" w:ascii="Calibri" w:hAnsi="Calibri"/>
          <w:iCs/>
          <w:sz w:val="22"/>
          <w:szCs w:val="22"/>
          <w:shd w:fill="auto" w:val="clear"/>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shd w:fill="auto" w:val="clear"/>
        </w:rPr>
        <w:t>S’engage à réserver, dans le cadre de</w:t>
      </w:r>
      <w:r>
        <w:rPr>
          <w:rFonts w:ascii="Calibri" w:hAnsi="Calibri" w:asciiTheme="minorHAnsi" w:hAnsiTheme="minorHAnsi"/>
          <w:iCs/>
          <w:color w:val="FF0000"/>
          <w:sz w:val="22"/>
          <w:szCs w:val="22"/>
          <w:shd w:fill="auto" w:val="clear"/>
        </w:rPr>
        <w:t xml:space="preserve"> </w:t>
      </w:r>
      <w:r>
        <w:rPr>
          <w:rFonts w:ascii="Calibri" w:hAnsi="Calibri" w:asciiTheme="minorHAnsi" w:hAnsiTheme="minorHAnsi"/>
          <w:iCs/>
          <w:sz w:val="22"/>
          <w:szCs w:val="22"/>
          <w:shd w:fill="auto" w:val="clear"/>
        </w:rPr>
        <w:t>l’exécution du marché, un nombre d’heures de travail au moins égal à celui indiqué à l’article 1-8.6.1 du cahie</w:t>
      </w:r>
      <w:r>
        <w:rPr>
          <w:rFonts w:ascii="Calibri" w:hAnsi="Calibri" w:asciiTheme="minorHAnsi" w:hAnsiTheme="minorHAnsi"/>
          <w:iCs/>
          <w:sz w:val="22"/>
          <w:szCs w:val="22"/>
        </w:rPr>
        <w:t>r des clauses administratives particulières à des personnes rencontrant des difficultés sociales ou professionnelles particulières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bookmarkStart w:id="158" w:name="_GoBack"/>
      <w:bookmarkStart w:id="159" w:name="_GoBack"/>
      <w:bookmarkEnd w:id="159"/>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prendre l’attache de l’EPEC, facilitateur désigné par le pouvoir adjudicateur, afin de préciser ou de définir les modalités de mise en œuvre des clauses sociales. Un plan d’action prévisionnel devra être élaboré à cet effet et validé par l’EPEC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fournir, à la demande du pouvoir adjudicateur et dans un délai qui lui sera imparti, toutes informations utiles à l’appréciation de la réalisation de l’action d’insertion.</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Calibri" w:hAnsi="Calibri" w:asciiTheme="minorHAnsi" w:hAnsiTheme="minorHAnsi"/>
          <w:iCs/>
          <w:sz w:val="22"/>
          <w:szCs w:val="22"/>
        </w:rPr>
        <w:t>Fait à …………………………………….</w:t>
        <w:tab/>
        <w:tab/>
        <w:tab/>
        <w:t>Le ……………………</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4962"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4962"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Calibri" w:hAnsi="Calibri" w:asciiTheme="minorHAnsi" w:hAnsiTheme="minorHAnsi"/>
          <w:iCs/>
          <w:sz w:val="22"/>
          <w:szCs w:val="22"/>
        </w:rPr>
        <w:t>(Signature et cachet)</w:t>
      </w:r>
    </w:p>
    <w:p>
      <w:pPr>
        <w:pStyle w:val="Normal"/>
        <w:widowControl w:val="false"/>
        <w:numPr>
          <w:ilvl w:val="0"/>
          <w:numId w:val="0"/>
        </w:numPr>
        <w:suppressAutoHyphens w:val="true"/>
        <w:ind w:left="0" w:hanging="0"/>
        <w:jc w:val="both"/>
        <w:rPr>
          <w:b/>
          <w:b/>
          <w:sz w:val="32"/>
        </w:rPr>
      </w:pPr>
      <w:r>
        <w:rPr/>
      </w:r>
    </w:p>
    <w:sectPr>
      <w:headerReference w:type="default" r:id="rId8"/>
      <w:headerReference w:type="first" r:id="rId9"/>
      <w:footerReference w:type="default" r:id="rId10"/>
      <w:footerReference w:type="first" r:id="rId11"/>
      <w:type w:val="nextPage"/>
      <w:pgSz w:w="11906" w:h="16838"/>
      <w:pgMar w:left="1417" w:right="1134" w:gutter="0" w:header="720" w:top="777" w:footer="720" w:bottom="1230"/>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MS Gothic">
    <w:charset w:val="00"/>
    <w:family w:val="roman"/>
    <w:pitch w:val="variable"/>
  </w:font>
  <w:font w:name="Wingdings">
    <w:altName w:val="Symbol"/>
    <w:charset w:val="00"/>
    <w:family w:val="roman"/>
    <w:pitch w:val="variable"/>
  </w:font>
  <w:font w:name="Calibri">
    <w:charset w:val="00"/>
    <w:family w:val="roman"/>
    <w:pitch w:val="variable"/>
  </w:font>
  <w:font w:name="Wingdings">
    <w:charset w:val="02"/>
    <w:family w:val="auto"/>
    <w:pitch w:val="variable"/>
  </w:font>
  <w:font w:name="Wingdings 2">
    <w:charset w:val="02"/>
    <w:family w:val="auto"/>
    <w:pitch w:val="default"/>
  </w:font>
  <w:font w:name="StarSymbol">
    <w:altName w:val="Arial Unicode MS"/>
    <w:charset w:val="01"/>
    <w:family w:val="auto"/>
    <w:pitch w:val="default"/>
  </w:font>
  <w:font w:name="Times New Roman">
    <w:charset w:val="01"/>
    <w:family w:val="roma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4</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bookmarkStart w:id="162" w:name="Version_1"/>
          <w:bookmarkStart w:id="163" w:name="Version_1"/>
          <w:bookmarkEnd w:id="163"/>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33"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33"/>
    </w:tblGrid>
    <w:tr>
      <w:trPr>
        <w:trHeight w:val="227" w:hRule="atLeast"/>
      </w:trPr>
      <w:tc>
        <w:tcPr>
          <w:tcW w:w="1133" w:type="dxa"/>
          <w:tcBorders/>
        </w:tcPr>
        <w:p>
          <w:pPr>
            <w:pStyle w:val="Entte"/>
            <w:widowControl w:val="false"/>
            <w:tabs>
              <w:tab w:val="clear" w:pos="4818"/>
              <w:tab w:val="clear" w:pos="9637"/>
            </w:tabs>
            <w:snapToGrid w:val="false"/>
            <w:ind w:left="-91" w:right="-10" w:hanging="0"/>
            <w:jc w:val="left"/>
            <w:rPr>
              <w:sz w:val="18"/>
            </w:rPr>
          </w:pPr>
          <w:r>
            <w:rPr>
              <w:sz w:val="18"/>
            </w:rPr>
          </w:r>
          <w:bookmarkStart w:id="160" w:name="Reference_doc_2"/>
          <w:bookmarkStart w:id="161" w:name="Reference_doc_2"/>
          <w:bookmarkEnd w:id="161"/>
        </w:p>
      </w:tc>
    </w:tr>
  </w:tbl>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29"/>
      <w:gridCol w:w="8224"/>
    </w:tblGrid>
    <w:tr>
      <w:trPr>
        <w:trHeight w:val="227" w:hRule="atLeast"/>
      </w:trPr>
      <w:tc>
        <w:tcPr>
          <w:tcW w:w="1129" w:type="dxa"/>
          <w:tcBorders/>
        </w:tcPr>
        <w:p>
          <w:pPr>
            <w:pStyle w:val="Entte"/>
            <w:widowControl w:val="false"/>
            <w:tabs>
              <w:tab w:val="clear" w:pos="4818"/>
              <w:tab w:val="clear" w:pos="9637"/>
            </w:tabs>
            <w:snapToGrid w:val="false"/>
            <w:ind w:left="-91" w:right="-10" w:hanging="0"/>
            <w:jc w:val="left"/>
            <w:rPr>
              <w:sz w:val="18"/>
            </w:rPr>
          </w:pPr>
          <w:r>
            <w:rPr>
              <w:sz w:val="18"/>
            </w:rPr>
          </w:r>
        </w:p>
      </w:tc>
      <w:tc>
        <w:tcPr>
          <w:tcW w:w="8224" w:type="dxa"/>
          <w:tcBorders/>
          <w:shd w:color="auto" w:fill="FFFFFF" w:themeFill="background1" w:val="clear"/>
        </w:tcPr>
        <w:p>
          <w:pPr>
            <w:pStyle w:val="Entte"/>
            <w:widowControl w:val="false"/>
            <w:tabs>
              <w:tab w:val="clear" w:pos="4818"/>
              <w:tab w:val="clear" w:pos="9637"/>
            </w:tabs>
            <w:snapToGrid w:val="false"/>
            <w:jc w:val="right"/>
            <w:rPr>
              <w:strike/>
              <w:color w:val="FF0000"/>
              <w:sz w:val="18"/>
              <w:shd w:fill="FFFF00" w:val="clear"/>
            </w:rPr>
          </w:pPr>
          <w:r>
            <w:rPr>
              <w:strike/>
              <w:color w:val="FF0000"/>
              <w:sz w:val="18"/>
              <w:shd w:fill="FFFF00" w:val="clear"/>
            </w:rPr>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
    <w:lvlOverride w:ilvl="0">
      <w:startOverride w:val="1"/>
    </w:lvlOverride>
  </w:num>
</w:numbering>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ahoma"/>
        <w:sz w:val="24"/>
        <w:szCs w:val="24"/>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Times New Roman" w:hAnsi="Times New Roman" w:eastAsia="Arial Unicode MS" w:cs="Tahoma"/>
      <w:color w:val="auto"/>
      <w:kern w:val="2"/>
      <w:sz w:val="24"/>
      <w:szCs w:val="24"/>
      <w:lang w:val="fr-FR" w:eastAsia="fr-FR" w:bidi="ar-SA"/>
    </w:rPr>
  </w:style>
  <w:style w:type="paragraph" w:styleId="Titre1">
    <w:name w:val="Heading 1"/>
    <w:basedOn w:val="Normal"/>
    <w:next w:val="Normal"/>
    <w:uiPriority w:val="9"/>
    <w:qFormat/>
    <w:pPr>
      <w:keepNext w:val="true"/>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val="true"/>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val="true"/>
      <w:widowControl/>
      <w:spacing w:before="238" w:after="119"/>
      <w:ind w:hanging="283"/>
      <w:outlineLvl w:val="2"/>
    </w:pPr>
    <w:rPr>
      <w:bCs/>
      <w:szCs w:val="28"/>
    </w:rPr>
  </w:style>
  <w:style w:type="character" w:styleId="DefaultParagraphFont" w:default="1">
    <w:name w:val="Default Paragraph Font"/>
    <w:uiPriority w:val="1"/>
    <w:semiHidden/>
    <w:unhideWhenUsed/>
    <w:qFormat/>
    <w:rPr/>
  </w:style>
  <w:style w:type="character" w:styleId="Caractresdenumrotation" w:customStyle="1">
    <w:name w:val="Caractères de numérotation"/>
    <w:qFormat/>
    <w:rPr/>
  </w:style>
  <w:style w:type="character" w:styleId="LienInternet" w:customStyle="1">
    <w:name w:val="Lien Internet"/>
    <w:basedOn w:val="DefaultParagraphFont"/>
    <w:uiPriority w:val="99"/>
    <w:semiHidden/>
    <w:unhideWhenUsed/>
    <w:rsid w:val="00f860f2"/>
    <w:rPr>
      <w:color w:val="0000FF"/>
      <w:u w:val="single"/>
    </w:rPr>
  </w:style>
  <w:style w:type="character" w:styleId="Bullet20Symbols" w:customStyle="1">
    <w:name w:val="Bullet_20_Symbols"/>
    <w:qFormat/>
    <w:rPr/>
  </w:style>
  <w:style w:type="character" w:styleId="Spipdocument365401836" w:customStyle="1">
    <w:name w:val="spip_document_365401836"/>
    <w:basedOn w:val="DefaultParagraphFont"/>
    <w:qFormat/>
    <w:rsid w:val="00f860f2"/>
    <w:rPr/>
  </w:style>
  <w:style w:type="character" w:styleId="Minfosgras" w:customStyle="1">
    <w:name w:val="m-infos gras"/>
    <w:basedOn w:val="DefaultParagraphFont"/>
    <w:qFormat/>
    <w:rPr>
      <w:b/>
      <w:sz w:val="20"/>
    </w:rPr>
  </w:style>
  <w:style w:type="character" w:styleId="Puces" w:customStyle="1">
    <w:name w:val="Puces"/>
    <w:qFormat/>
    <w:rPr>
      <w:rFonts w:ascii="OpenSymbol" w:hAnsi="OpenSymbol" w:eastAsia="OpenSymbol" w:cs="OpenSymbol"/>
    </w:rPr>
  </w:style>
  <w:style w:type="character" w:styleId="LienInternetvisit" w:customStyle="1">
    <w:name w:val="Lien Internet visité"/>
    <w:rPr>
      <w:color w:val="800000"/>
      <w:u w:val="single"/>
    </w:rPr>
  </w:style>
  <w:style w:type="character" w:styleId="Annotationreference">
    <w:name w:val="annotation reference"/>
    <w:basedOn w:val="DefaultParagraphFont"/>
    <w:uiPriority w:val="99"/>
    <w:semiHidden/>
    <w:unhideWhenUsed/>
    <w:qFormat/>
    <w:rsid w:val="005707b9"/>
    <w:rPr>
      <w:sz w:val="16"/>
      <w:szCs w:val="16"/>
    </w:rPr>
  </w:style>
  <w:style w:type="character" w:styleId="CommentaireCar" w:customStyle="1">
    <w:name w:val="Commentaire Car"/>
    <w:basedOn w:val="DefaultParagraphFont"/>
    <w:link w:val="Annotationtext"/>
    <w:uiPriority w:val="99"/>
    <w:semiHidden/>
    <w:qFormat/>
    <w:rsid w:val="005707b9"/>
    <w:rPr>
      <w:kern w:val="2"/>
      <w:sz w:val="20"/>
      <w:szCs w:val="20"/>
    </w:rPr>
  </w:style>
  <w:style w:type="character" w:styleId="ObjetducommentaireCar" w:customStyle="1">
    <w:name w:val="Objet du commentaire Car"/>
    <w:basedOn w:val="CommentaireCar"/>
    <w:link w:val="Annotationsubject"/>
    <w:uiPriority w:val="99"/>
    <w:semiHidden/>
    <w:qFormat/>
    <w:rsid w:val="005707b9"/>
    <w:rPr>
      <w:b/>
      <w:bCs/>
      <w:kern w:val="2"/>
      <w:sz w:val="20"/>
      <w:szCs w:val="20"/>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before="0" w:after="120"/>
    </w:pPr>
    <w:rPr/>
  </w:style>
  <w:style w:type="paragraph" w:styleId="Liste">
    <w:name w:val="List"/>
    <w:basedOn w:val="Corpsdetexte"/>
    <w:pPr/>
    <w:rPr/>
  </w:style>
  <w:style w:type="paragraph" w:styleId="Lgende">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style>
  <w:style w:type="paragraph" w:styleId="Titreprincipal">
    <w:name w:val="Title"/>
    <w:basedOn w:val="Normal"/>
    <w:next w:val="Corpsdetexte"/>
    <w:uiPriority w:val="10"/>
    <w:qFormat/>
    <w:pPr>
      <w:keepNext w:val="true"/>
      <w:spacing w:before="240" w:after="120"/>
    </w:pPr>
    <w:rPr>
      <w:rFonts w:ascii="Arial" w:hAnsi="Arial"/>
      <w:sz w:val="28"/>
      <w:szCs w:val="28"/>
    </w:rPr>
  </w:style>
  <w:style w:type="paragraph" w:styleId="Caption">
    <w:name w:val="caption"/>
    <w:basedOn w:val="Normal"/>
    <w:qFormat/>
    <w:pPr>
      <w:suppressLineNumbers/>
      <w:spacing w:before="120" w:after="120"/>
    </w:pPr>
    <w:rPr>
      <w:i/>
      <w:iCs/>
      <w:sz w:val="20"/>
      <w:szCs w:val="20"/>
    </w:rPr>
  </w:style>
  <w:style w:type="paragraph" w:styleId="Entteetpieddepage" w:customStyle="1">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suppressLineNumbers/>
      <w:tabs>
        <w:tab w:val="clear" w:pos="709"/>
        <w:tab w:val="center" w:pos="4818" w:leader="none"/>
        <w:tab w:val="right" w:pos="9637" w:leader="none"/>
      </w:tabs>
    </w:pPr>
    <w:rPr/>
  </w:style>
  <w:style w:type="paragraph" w:styleId="Pieddepage">
    <w:name w:val="Footer"/>
    <w:basedOn w:val="Normal"/>
    <w:pPr>
      <w:suppressLineNumbers/>
      <w:tabs>
        <w:tab w:val="clear" w:pos="709"/>
        <w:tab w:val="center" w:pos="4818" w:leader="none"/>
        <w:tab w:val="right" w:pos="9637" w:leader="none"/>
      </w:tabs>
    </w:pPr>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i/>
      <w:iCs/>
    </w:rPr>
  </w:style>
  <w:style w:type="paragraph" w:styleId="Tabledesmatiresniveau1">
    <w:name w:val="TOC 1"/>
    <w:basedOn w:val="Index"/>
    <w:pPr>
      <w:tabs>
        <w:tab w:val="clear" w:pos="709"/>
        <w:tab w:val="right" w:pos="9637" w:leader="dot"/>
      </w:tabs>
      <w:spacing w:before="170" w:after="0"/>
    </w:pPr>
    <w:rPr/>
  </w:style>
  <w:style w:type="paragraph" w:styleId="Tabledesmatiresniveau2">
    <w:name w:val="TOC 2"/>
    <w:basedOn w:val="Index"/>
    <w:pPr>
      <w:tabs>
        <w:tab w:val="clear" w:pos="709"/>
        <w:tab w:val="right" w:pos="9637" w:leader="dot"/>
      </w:tabs>
      <w:ind w:left="283" w:hanging="0"/>
    </w:pPr>
    <w:rPr/>
  </w:style>
  <w:style w:type="paragraph" w:styleId="Tabledesmatiresniveau3">
    <w:name w:val="TOC 3"/>
    <w:basedOn w:val="Index"/>
    <w:pPr>
      <w:tabs>
        <w:tab w:val="clear" w:pos="709"/>
        <w:tab w:val="right" w:pos="9637" w:leader="dot"/>
      </w:tabs>
      <w:spacing w:before="170" w:after="0"/>
      <w:ind w:left="566" w:hanging="0"/>
    </w:pPr>
    <w:rPr/>
  </w:style>
  <w:style w:type="paragraph" w:styleId="Tabledesmatiresniveau4">
    <w:name w:val="TOC 4"/>
    <w:basedOn w:val="Index"/>
    <w:pPr>
      <w:tabs>
        <w:tab w:val="clear" w:pos="709"/>
        <w:tab w:val="right" w:pos="9637" w:leader="dot"/>
      </w:tabs>
      <w:spacing w:before="170" w:after="0"/>
      <w:ind w:left="849" w:hanging="0"/>
    </w:pPr>
    <w:rPr/>
  </w:style>
  <w:style w:type="paragraph" w:styleId="Tabledesmatiresniveau5">
    <w:name w:val="TOC 5"/>
    <w:basedOn w:val="Index"/>
    <w:pPr>
      <w:tabs>
        <w:tab w:val="clear" w:pos="709"/>
        <w:tab w:val="right" w:pos="9637" w:leader="dot"/>
      </w:tabs>
      <w:spacing w:before="170" w:after="0"/>
      <w:ind w:left="1132" w:hanging="0"/>
    </w:pPr>
    <w:rPr/>
  </w:style>
  <w:style w:type="paragraph" w:styleId="Tabledesmatiresniveau6">
    <w:name w:val="TOC 6"/>
    <w:basedOn w:val="Index"/>
    <w:pPr>
      <w:tabs>
        <w:tab w:val="clear" w:pos="709"/>
        <w:tab w:val="right" w:pos="9637" w:leader="dot"/>
      </w:tabs>
      <w:spacing w:before="170" w:after="0"/>
      <w:ind w:left="1415" w:hanging="0"/>
    </w:pPr>
    <w:rPr/>
  </w:style>
  <w:style w:type="paragraph" w:styleId="Trame" w:customStyle="1">
    <w:name w:val="Trame"/>
    <w:basedOn w:val="Normal"/>
    <w:qFormat/>
    <w:pPr>
      <w:shd w:val="clear" w:color="auto" w:fill="CCCCCC"/>
      <w:jc w:val="center"/>
    </w:pPr>
    <w:rPr>
      <w:b/>
      <w:sz w:val="40"/>
    </w:rPr>
  </w:style>
  <w:style w:type="paragraph" w:styleId="Cadrerelief" w:customStyle="1">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hanging="0"/>
    </w:pPr>
    <w:rPr/>
  </w:style>
  <w:style w:type="paragraph" w:styleId="Paragraphe" w:customStyle="1">
    <w:name w:val="Paragraphe"/>
    <w:basedOn w:val="Normal"/>
    <w:qFormat/>
    <w:pPr>
      <w:spacing w:before="120" w:after="0"/>
    </w:pPr>
    <w:rPr/>
  </w:style>
  <w:style w:type="paragraph" w:styleId="Paradouble" w:customStyle="1">
    <w:name w:val="Para_double"/>
    <w:basedOn w:val="Paragraphe"/>
    <w:qFormat/>
    <w:pPr>
      <w:spacing w:before="120" w:after="240"/>
    </w:pPr>
    <w:rPr/>
  </w:style>
  <w:style w:type="paragraph" w:styleId="Parareponse" w:customStyle="1">
    <w:name w:val="Para_reponse"/>
    <w:basedOn w:val="Normal"/>
    <w:qFormat/>
    <w:pPr>
      <w:spacing w:before="120" w:after="120"/>
    </w:pPr>
    <w:rPr/>
  </w:style>
  <w:style w:type="paragraph" w:styleId="Reponse" w:customStyle="1">
    <w:name w:val="Reponse"/>
    <w:basedOn w:val="Normal"/>
    <w:qFormat/>
    <w:pPr>
      <w:ind w:left="567" w:right="567" w:hanging="0"/>
    </w:pPr>
    <w:rPr/>
  </w:style>
  <w:style w:type="paragraph" w:styleId="ListBullet4">
    <w:name w:val="List Bullet 4"/>
    <w:basedOn w:val="Liste"/>
    <w:qFormat/>
    <w:pPr>
      <w:ind w:left="1080" w:hanging="360"/>
    </w:pPr>
    <w:rPr/>
  </w:style>
  <w:style w:type="paragraph" w:styleId="ListParagraph">
    <w:name w:val="List Paragraph"/>
    <w:basedOn w:val="Normal"/>
    <w:uiPriority w:val="34"/>
    <w:qFormat/>
    <w:rsid w:val="00303a51"/>
    <w:pPr>
      <w:spacing w:before="0" w:after="0"/>
      <w:ind w:left="720" w:hanging="0"/>
      <w:contextualSpacing/>
    </w:pPr>
    <w:rPr/>
  </w:style>
  <w:style w:type="paragraph" w:styleId="Default" w:customStyle="1">
    <w:name w:val="Default"/>
    <w:qFormat/>
    <w:rsid w:val="006f0200"/>
    <w:pPr>
      <w:widowControl/>
      <w:suppressAutoHyphens w:val="false"/>
      <w:bidi w:val="0"/>
      <w:spacing w:before="0" w:after="0"/>
      <w:jc w:val="left"/>
    </w:pPr>
    <w:rPr>
      <w:rFonts w:ascii="Liberation Sans" w:hAnsi="Liberation Sans" w:eastAsia="Arial Unicode MS" w:cs="Liberation Sans"/>
      <w:color w:val="000000"/>
      <w:kern w:val="0"/>
      <w:sz w:val="24"/>
      <w:szCs w:val="24"/>
      <w:lang w:val="fr-FR" w:eastAsia="fr-FR" w:bidi="ar-SA"/>
    </w:rPr>
  </w:style>
  <w:style w:type="paragraph" w:styleId="Annotationtext">
    <w:name w:val="annotation text"/>
    <w:basedOn w:val="Normal"/>
    <w:link w:val="CommentaireCar"/>
    <w:uiPriority w:val="99"/>
    <w:semiHidden/>
    <w:unhideWhenUsed/>
    <w:qFormat/>
    <w:rsid w:val="005707b9"/>
    <w:pPr/>
    <w:rPr>
      <w:sz w:val="20"/>
      <w:szCs w:val="20"/>
    </w:rPr>
  </w:style>
  <w:style w:type="paragraph" w:styleId="Annotationsubject">
    <w:name w:val="annotation subject"/>
    <w:basedOn w:val="Annotationtext"/>
    <w:next w:val="Annotationtext"/>
    <w:link w:val="ObjetducommentaireCar"/>
    <w:uiPriority w:val="99"/>
    <w:semiHidden/>
    <w:unhideWhenUsed/>
    <w:qFormat/>
    <w:rsid w:val="005707b9"/>
    <w:pPr/>
    <w:rPr>
      <w:b/>
      <w:bCs/>
    </w:rPr>
  </w:style>
  <w:style w:type="paragraph" w:styleId="Retraitdecorpsdetexte">
    <w:name w:val="Body Text Indent"/>
    <w:basedOn w:val="Normal"/>
    <w:pPr>
      <w:ind w:left="720" w:hanging="0"/>
    </w:pPr>
    <w:rPr>
      <w:rFonts w:ascii="Arial" w:hAnsi="Arial"/>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3"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4" Type="http://schemas.openxmlformats.org/officeDocument/2006/relationships/hyperlink" Target="http://eur-lex.europa.eu/LexUriServ/LexUriServ.do?uri=OJ:L:2003:124:0036:0041:fr:PDF" TargetMode="External"/><Relationship Id="rId5" Type="http://schemas.openxmlformats.org/officeDocument/2006/relationships/hyperlink" Target="http://eur-lex.europa.eu/LexUriServ/LexUriServ.do?uri=OJ:L:2003:124:0036:0041:fr:PDF" TargetMode="Externa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eur-lex.europa.eu/LexUriServ/LexUriServ.do?uri=OJ:L:2003:124:0036:0041:fr: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Application>LibreOffice/7.3.7.2.M8$Windows_X86_64 LibreOffice_project/6d3c621d2a55ad69069ee1e9770686c208fa23a7</Application>
  <AppVersion>15.0000</AppVersion>
  <Pages>15</Pages>
  <Words>3082</Words>
  <Characters>15548</Characters>
  <CharactersWithSpaces>18249</CharactersWithSpaces>
  <Paragraphs>398</Paragraphs>
  <Company>MTECT-MTE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2025-10-28T08:22:00Z</dcterms:created>
  <dc:creator>ROUVEYROL Vincent</dc:creator>
  <dc:description/>
  <dc:language>fr-FR</dc:language>
  <cp:lastModifiedBy/>
  <dcterms:modified xsi:type="dcterms:W3CDTF">2025-12-02T16:38:57Z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